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730" w:rsidRPr="005A43AC" w:rsidRDefault="00DF4730" w:rsidP="00DF4730">
      <w:pPr>
        <w:pStyle w:val="Heading1"/>
        <w:spacing w:before="0"/>
        <w:jc w:val="center"/>
        <w:rPr>
          <w:rFonts w:asciiTheme="minorHAnsi" w:hAnsiTheme="minorHAnsi"/>
          <w:color w:val="auto"/>
          <w:sz w:val="22"/>
          <w:szCs w:val="22"/>
          <w:lang w:val="en-GB"/>
        </w:rPr>
      </w:pPr>
      <w:r w:rsidRPr="005A43AC">
        <w:rPr>
          <w:rFonts w:asciiTheme="minorHAnsi" w:hAnsiTheme="minorHAnsi"/>
          <w:color w:val="auto"/>
          <w:sz w:val="22"/>
          <w:szCs w:val="22"/>
          <w:lang w:val="en-GB"/>
        </w:rPr>
        <w:t xml:space="preserve">COMPLAINT FILING </w:t>
      </w:r>
      <w:r w:rsidR="004B4048" w:rsidRPr="005A43AC">
        <w:rPr>
          <w:rFonts w:asciiTheme="minorHAnsi" w:hAnsiTheme="minorHAnsi"/>
          <w:color w:val="auto"/>
          <w:sz w:val="22"/>
          <w:szCs w:val="22"/>
          <w:lang w:val="en-GB"/>
        </w:rPr>
        <w:t>GUIDELINES</w:t>
      </w:r>
      <w:r w:rsidRPr="005A43AC">
        <w:rPr>
          <w:rFonts w:asciiTheme="minorHAnsi" w:hAnsiTheme="minorHAnsi"/>
          <w:color w:val="auto"/>
          <w:sz w:val="22"/>
          <w:szCs w:val="22"/>
          <w:lang w:val="en-GB"/>
        </w:rPr>
        <w:t>:</w:t>
      </w:r>
    </w:p>
    <w:p w:rsidR="00DF4730" w:rsidRPr="005A43AC" w:rsidRDefault="00DF4730" w:rsidP="0006521E">
      <w:pPr>
        <w:pStyle w:val="Heading2"/>
        <w:jc w:val="center"/>
        <w:rPr>
          <w:rFonts w:asciiTheme="minorHAnsi" w:hAnsiTheme="minorHAnsi"/>
          <w:color w:val="auto"/>
          <w:sz w:val="22"/>
          <w:szCs w:val="22"/>
          <w:lang w:val="en-GB"/>
        </w:rPr>
        <w:sectPr w:rsidR="00DF4730" w:rsidRPr="005A43AC" w:rsidSect="00133F1B">
          <w:footerReference w:type="default" r:id="rId8"/>
          <w:pgSz w:w="11906" w:h="16838"/>
          <w:pgMar w:top="1440" w:right="1440" w:bottom="1440" w:left="1440" w:header="708" w:footer="708" w:gutter="0"/>
          <w:cols w:space="708"/>
          <w:docGrid w:linePitch="360"/>
        </w:sectPr>
      </w:pPr>
      <w:r w:rsidRPr="005A43AC">
        <w:rPr>
          <w:rFonts w:asciiTheme="minorHAnsi" w:hAnsiTheme="minorHAnsi"/>
          <w:color w:val="auto"/>
          <w:sz w:val="22"/>
          <w:szCs w:val="22"/>
          <w:lang w:val="en-GB"/>
        </w:rPr>
        <w:t>RESTRICTIVE BUSINESS PRACTICES AND ABUSE OF DOMINANCE</w:t>
      </w:r>
    </w:p>
    <w:p w:rsidR="0006521E" w:rsidRPr="005A43AC" w:rsidRDefault="0006521E" w:rsidP="0006521E">
      <w:pPr>
        <w:pStyle w:val="Heading1"/>
        <w:spacing w:before="0"/>
        <w:rPr>
          <w:rFonts w:asciiTheme="minorHAnsi" w:hAnsiTheme="minorHAnsi"/>
          <w:color w:val="auto"/>
          <w:sz w:val="22"/>
          <w:szCs w:val="22"/>
          <w:lang w:val="en-GB"/>
        </w:rPr>
      </w:pPr>
    </w:p>
    <w:p w:rsidR="00133F1B" w:rsidRPr="005A43AC" w:rsidRDefault="005A43AC" w:rsidP="005A43AC">
      <w:pPr>
        <w:pStyle w:val="Heading1"/>
        <w:spacing w:before="0"/>
        <w:jc w:val="center"/>
        <w:rPr>
          <w:rFonts w:asciiTheme="minorHAnsi" w:hAnsiTheme="minorHAnsi"/>
          <w:color w:val="auto"/>
          <w:sz w:val="22"/>
          <w:szCs w:val="22"/>
          <w:lang w:val="en-GB"/>
        </w:rPr>
      </w:pPr>
      <w:r>
        <w:rPr>
          <w:rFonts w:asciiTheme="minorHAnsi" w:hAnsiTheme="minorHAnsi"/>
          <w:color w:val="auto"/>
          <w:sz w:val="22"/>
          <w:szCs w:val="22"/>
          <w:lang w:val="en-GB"/>
        </w:rPr>
        <w:t xml:space="preserve">By </w:t>
      </w:r>
      <w:r w:rsidR="00133F1B" w:rsidRPr="005A43AC">
        <w:rPr>
          <w:rFonts w:asciiTheme="minorHAnsi" w:hAnsiTheme="minorHAnsi"/>
          <w:color w:val="auto"/>
          <w:sz w:val="22"/>
          <w:szCs w:val="22"/>
          <w:lang w:val="en-GB"/>
        </w:rPr>
        <w:t>Paulus Hangula</w:t>
      </w:r>
    </w:p>
    <w:p w:rsidR="00133F1B" w:rsidRPr="005A43AC" w:rsidRDefault="00133F1B" w:rsidP="005A43AC">
      <w:pPr>
        <w:pStyle w:val="Heading1"/>
        <w:spacing w:before="0"/>
        <w:jc w:val="center"/>
        <w:rPr>
          <w:rFonts w:asciiTheme="minorHAnsi" w:hAnsiTheme="minorHAnsi"/>
          <w:color w:val="auto"/>
          <w:sz w:val="22"/>
          <w:szCs w:val="22"/>
          <w:lang w:val="en-GB"/>
        </w:rPr>
      </w:pPr>
      <w:r w:rsidRPr="005A43AC">
        <w:rPr>
          <w:rFonts w:asciiTheme="minorHAnsi" w:hAnsiTheme="minorHAnsi"/>
          <w:color w:val="auto"/>
          <w:sz w:val="22"/>
          <w:szCs w:val="22"/>
          <w:lang w:val="en-GB"/>
        </w:rPr>
        <w:t>Economist: Restrictive Business Practices</w:t>
      </w:r>
    </w:p>
    <w:p w:rsidR="004B4048" w:rsidRPr="005A43AC" w:rsidRDefault="004B4048" w:rsidP="002B412B">
      <w:pPr>
        <w:jc w:val="both"/>
        <w:rPr>
          <w:b/>
          <w:lang w:val="en-GB"/>
        </w:rPr>
        <w:sectPr w:rsidR="004B4048" w:rsidRPr="005A43AC" w:rsidSect="00133F1B">
          <w:type w:val="continuous"/>
          <w:pgSz w:w="11906" w:h="16838"/>
          <w:pgMar w:top="1440" w:right="1440" w:bottom="1440" w:left="1440" w:header="708" w:footer="708" w:gutter="0"/>
          <w:cols w:space="708"/>
          <w:docGrid w:linePitch="360"/>
        </w:sectPr>
      </w:pPr>
    </w:p>
    <w:p w:rsidR="00133F1B" w:rsidRPr="005A43AC" w:rsidRDefault="00133F1B" w:rsidP="007F3C46">
      <w:pPr>
        <w:pStyle w:val="Heading1"/>
        <w:spacing w:before="0"/>
        <w:rPr>
          <w:rFonts w:asciiTheme="minorHAnsi" w:hAnsiTheme="minorHAnsi"/>
          <w:color w:val="auto"/>
          <w:sz w:val="22"/>
          <w:szCs w:val="22"/>
          <w:lang w:val="en-GB"/>
        </w:rPr>
      </w:pPr>
    </w:p>
    <w:p w:rsidR="00DB1775" w:rsidRDefault="00062273" w:rsidP="002B412B">
      <w:pPr>
        <w:jc w:val="both"/>
        <w:rPr>
          <w:lang w:val="en-GB"/>
        </w:rPr>
      </w:pPr>
      <w:r w:rsidRPr="005A43AC">
        <w:rPr>
          <w:lang w:val="en-GB"/>
        </w:rPr>
        <w:t>T</w:t>
      </w:r>
      <w:r w:rsidR="005942E5" w:rsidRPr="005A43AC">
        <w:rPr>
          <w:lang w:val="en-GB"/>
        </w:rPr>
        <w:t>he Namibian Competition Commission</w:t>
      </w:r>
      <w:r w:rsidRPr="005A43AC">
        <w:rPr>
          <w:lang w:val="en-GB"/>
        </w:rPr>
        <w:t xml:space="preserve"> is mandated</w:t>
      </w:r>
      <w:r w:rsidR="005942E5" w:rsidRPr="005A43AC">
        <w:rPr>
          <w:lang w:val="en-GB"/>
        </w:rPr>
        <w:t xml:space="preserve"> under </w:t>
      </w:r>
      <w:r w:rsidR="005942E5" w:rsidRPr="005A43AC">
        <w:rPr>
          <w:i/>
          <w:lang w:val="en-GB"/>
        </w:rPr>
        <w:t>Chapter 3</w:t>
      </w:r>
      <w:r w:rsidR="005942E5" w:rsidRPr="005A43AC">
        <w:rPr>
          <w:lang w:val="en-GB"/>
        </w:rPr>
        <w:t xml:space="preserve"> of the </w:t>
      </w:r>
      <w:r w:rsidR="005942E5" w:rsidRPr="005A43AC">
        <w:rPr>
          <w:i/>
          <w:lang w:val="en-GB"/>
        </w:rPr>
        <w:t>Competit</w:t>
      </w:r>
      <w:r w:rsidRPr="005A43AC">
        <w:rPr>
          <w:i/>
          <w:lang w:val="en-GB"/>
        </w:rPr>
        <w:t xml:space="preserve">ion Act </w:t>
      </w:r>
      <w:r w:rsidR="005A43AC">
        <w:rPr>
          <w:i/>
          <w:lang w:val="en-GB"/>
        </w:rPr>
        <w:t>2</w:t>
      </w:r>
      <w:r w:rsidR="00D61648">
        <w:rPr>
          <w:i/>
          <w:lang w:val="en-GB"/>
        </w:rPr>
        <w:t xml:space="preserve"> o</w:t>
      </w:r>
      <w:r w:rsidRPr="005A43AC">
        <w:rPr>
          <w:i/>
          <w:lang w:val="en-GB"/>
        </w:rPr>
        <w:t xml:space="preserve">f </w:t>
      </w:r>
      <w:r w:rsidR="005A43AC">
        <w:rPr>
          <w:i/>
          <w:lang w:val="en-GB"/>
        </w:rPr>
        <w:t>2003</w:t>
      </w:r>
      <w:r w:rsidR="005942E5" w:rsidRPr="005A43AC">
        <w:rPr>
          <w:lang w:val="en-GB"/>
        </w:rPr>
        <w:t xml:space="preserve"> to deal </w:t>
      </w:r>
      <w:r w:rsidR="00E2067B">
        <w:rPr>
          <w:lang w:val="en-GB"/>
        </w:rPr>
        <w:t xml:space="preserve">with anti-competitive behaviour within the </w:t>
      </w:r>
      <w:r w:rsidR="005942E5" w:rsidRPr="005A43AC">
        <w:rPr>
          <w:lang w:val="en-GB"/>
        </w:rPr>
        <w:t>N</w:t>
      </w:r>
      <w:r w:rsidRPr="005A43AC">
        <w:rPr>
          <w:lang w:val="en-GB"/>
        </w:rPr>
        <w:t>amibian economy. The Commission has powers to investigate</w:t>
      </w:r>
      <w:r w:rsidR="008845C2" w:rsidRPr="005A43AC">
        <w:rPr>
          <w:lang w:val="en-GB"/>
        </w:rPr>
        <w:t xml:space="preserve"> complaints</w:t>
      </w:r>
      <w:r w:rsidRPr="005A43AC">
        <w:rPr>
          <w:lang w:val="en-GB"/>
        </w:rPr>
        <w:t xml:space="preserve"> and </w:t>
      </w:r>
      <w:r w:rsidR="006337AA">
        <w:rPr>
          <w:lang w:val="en-GB"/>
        </w:rPr>
        <w:t xml:space="preserve">make </w:t>
      </w:r>
      <w:r w:rsidRPr="005A43AC">
        <w:rPr>
          <w:lang w:val="en-GB"/>
        </w:rPr>
        <w:t>de</w:t>
      </w:r>
      <w:r w:rsidR="006337AA">
        <w:rPr>
          <w:lang w:val="en-GB"/>
        </w:rPr>
        <w:t>terminations</w:t>
      </w:r>
      <w:r w:rsidRPr="005A43AC">
        <w:rPr>
          <w:lang w:val="en-GB"/>
        </w:rPr>
        <w:t xml:space="preserve"> on business </w:t>
      </w:r>
      <w:r w:rsidR="006337AA">
        <w:rPr>
          <w:lang w:val="en-GB"/>
        </w:rPr>
        <w:t>conduct found to be contravening the provisions of the Act</w:t>
      </w:r>
      <w:r w:rsidR="004E0901" w:rsidRPr="005A43AC">
        <w:rPr>
          <w:lang w:val="en-GB"/>
        </w:rPr>
        <w:t>.</w:t>
      </w:r>
      <w:r w:rsidR="00D12C2A" w:rsidRPr="005A43AC">
        <w:rPr>
          <w:lang w:val="en-GB"/>
        </w:rPr>
        <w:t xml:space="preserve"> </w:t>
      </w:r>
    </w:p>
    <w:p w:rsidR="00F75616" w:rsidRDefault="00F75616" w:rsidP="00BE75C9">
      <w:pPr>
        <w:jc w:val="both"/>
        <w:rPr>
          <w:lang w:val="en-GB"/>
        </w:rPr>
      </w:pPr>
    </w:p>
    <w:p w:rsidR="00BE75C9" w:rsidRPr="005A43AC" w:rsidRDefault="00BE75C9" w:rsidP="00BE75C9">
      <w:pPr>
        <w:jc w:val="both"/>
        <w:rPr>
          <w:lang w:val="en-GB"/>
        </w:rPr>
      </w:pPr>
      <w:r w:rsidRPr="005A43AC">
        <w:rPr>
          <w:lang w:val="en-GB"/>
        </w:rPr>
        <w:t>Th</w:t>
      </w:r>
      <w:r w:rsidR="00A60657">
        <w:rPr>
          <w:lang w:val="en-GB"/>
        </w:rPr>
        <w:t>is</w:t>
      </w:r>
      <w:r w:rsidRPr="005A43AC">
        <w:rPr>
          <w:lang w:val="en-GB"/>
        </w:rPr>
        <w:t xml:space="preserve"> </w:t>
      </w:r>
      <w:r>
        <w:rPr>
          <w:lang w:val="en-GB"/>
        </w:rPr>
        <w:t>article provides the reader with guidelines</w:t>
      </w:r>
      <w:r w:rsidRPr="005A43AC">
        <w:rPr>
          <w:lang w:val="en-GB"/>
        </w:rPr>
        <w:t xml:space="preserve"> intended to </w:t>
      </w:r>
      <w:r>
        <w:rPr>
          <w:lang w:val="en-GB"/>
        </w:rPr>
        <w:t>assist</w:t>
      </w:r>
      <w:r w:rsidRPr="005A43AC">
        <w:rPr>
          <w:lang w:val="en-GB"/>
        </w:rPr>
        <w:t xml:space="preserve"> individual</w:t>
      </w:r>
      <w:r>
        <w:rPr>
          <w:lang w:val="en-GB"/>
        </w:rPr>
        <w:t>s</w:t>
      </w:r>
      <w:r w:rsidRPr="005A43AC">
        <w:rPr>
          <w:lang w:val="en-GB"/>
        </w:rPr>
        <w:t xml:space="preserve"> or businesses</w:t>
      </w:r>
      <w:r w:rsidR="00A60657">
        <w:rPr>
          <w:lang w:val="en-GB"/>
        </w:rPr>
        <w:t xml:space="preserve"> </w:t>
      </w:r>
      <w:r w:rsidRPr="005A43AC">
        <w:rPr>
          <w:lang w:val="en-GB"/>
        </w:rPr>
        <w:t>to understand the Commission’s process</w:t>
      </w:r>
      <w:r>
        <w:rPr>
          <w:lang w:val="en-GB"/>
        </w:rPr>
        <w:t>es</w:t>
      </w:r>
      <w:r w:rsidRPr="005A43AC">
        <w:rPr>
          <w:lang w:val="en-GB"/>
        </w:rPr>
        <w:t xml:space="preserve"> and how best to present a case </w:t>
      </w:r>
      <w:r>
        <w:rPr>
          <w:lang w:val="en-GB"/>
        </w:rPr>
        <w:t xml:space="preserve">when filing a complaint with the </w:t>
      </w:r>
      <w:r w:rsidRPr="005A43AC">
        <w:rPr>
          <w:lang w:val="en-GB"/>
        </w:rPr>
        <w:t>Commission</w:t>
      </w:r>
      <w:r>
        <w:rPr>
          <w:lang w:val="en-GB"/>
        </w:rPr>
        <w:t>.</w:t>
      </w:r>
      <w:r w:rsidRPr="005A43AC">
        <w:rPr>
          <w:lang w:val="en-GB"/>
        </w:rPr>
        <w:t xml:space="preserve"> These guidelines are not binding on anyone filing a complaint. However, they should be followed to prevent delays in investigating complaints.</w:t>
      </w:r>
    </w:p>
    <w:p w:rsidR="00D12C2A" w:rsidRPr="005A43AC" w:rsidRDefault="00D12C2A" w:rsidP="007E1808">
      <w:pPr>
        <w:jc w:val="both"/>
        <w:rPr>
          <w:lang w:val="en-GB"/>
        </w:rPr>
      </w:pPr>
    </w:p>
    <w:p w:rsidR="002B412B" w:rsidRPr="005A43AC" w:rsidRDefault="002B412B" w:rsidP="007E1808">
      <w:pPr>
        <w:jc w:val="both"/>
        <w:rPr>
          <w:lang w:val="en-GB"/>
        </w:rPr>
      </w:pPr>
    </w:p>
    <w:p w:rsidR="00EB354B" w:rsidRPr="005A43AC" w:rsidRDefault="005A43AC" w:rsidP="00D20068">
      <w:pPr>
        <w:pStyle w:val="Heading2"/>
        <w:rPr>
          <w:rFonts w:asciiTheme="minorHAnsi" w:hAnsiTheme="minorHAnsi"/>
          <w:i/>
          <w:color w:val="auto"/>
          <w:sz w:val="22"/>
          <w:szCs w:val="22"/>
          <w:lang w:val="en-GB"/>
        </w:rPr>
      </w:pPr>
      <w:r w:rsidRPr="005A43AC">
        <w:rPr>
          <w:rFonts w:asciiTheme="minorHAnsi" w:hAnsiTheme="minorHAnsi"/>
          <w:i/>
          <w:color w:val="auto"/>
          <w:sz w:val="22"/>
          <w:szCs w:val="22"/>
          <w:lang w:val="en-GB"/>
        </w:rPr>
        <w:t>The difference between information provided and a complaint</w:t>
      </w:r>
    </w:p>
    <w:p w:rsidR="003538D8" w:rsidRDefault="003538D8" w:rsidP="003538D8">
      <w:pPr>
        <w:jc w:val="both"/>
        <w:rPr>
          <w:lang w:val="en-GB"/>
        </w:rPr>
      </w:pPr>
    </w:p>
    <w:p w:rsidR="003538D8" w:rsidRPr="005A43AC" w:rsidRDefault="003538D8" w:rsidP="003538D8">
      <w:pPr>
        <w:jc w:val="both"/>
        <w:rPr>
          <w:lang w:val="en-GB"/>
        </w:rPr>
      </w:pPr>
      <w:r w:rsidRPr="005A43AC">
        <w:rPr>
          <w:lang w:val="en-GB"/>
        </w:rPr>
        <w:t>In t</w:t>
      </w:r>
      <w:r>
        <w:rPr>
          <w:lang w:val="en-GB"/>
        </w:rPr>
        <w:t>erms of competition law</w:t>
      </w:r>
      <w:r w:rsidRPr="005A43AC">
        <w:rPr>
          <w:lang w:val="en-GB"/>
        </w:rPr>
        <w:t xml:space="preserve">, </w:t>
      </w:r>
      <w:r w:rsidR="005C137B">
        <w:rPr>
          <w:lang w:val="en-GB"/>
        </w:rPr>
        <w:t xml:space="preserve">a </w:t>
      </w:r>
      <w:r w:rsidRPr="005A43AC">
        <w:rPr>
          <w:lang w:val="en-GB"/>
        </w:rPr>
        <w:t>‘</w:t>
      </w:r>
      <w:r w:rsidRPr="00DB1775">
        <w:rPr>
          <w:i/>
          <w:lang w:val="en-GB"/>
        </w:rPr>
        <w:t>complaint</w:t>
      </w:r>
      <w:r w:rsidRPr="005A43AC">
        <w:rPr>
          <w:lang w:val="en-GB"/>
        </w:rPr>
        <w:t>’ means a statement made to the Commission in a prescribed manner and form, that sets out facts and possible competition in</w:t>
      </w:r>
      <w:r w:rsidR="00035F3F">
        <w:rPr>
          <w:lang w:val="en-GB"/>
        </w:rPr>
        <w:t>fringements and cause of action/s</w:t>
      </w:r>
      <w:r w:rsidRPr="005A43AC">
        <w:rPr>
          <w:lang w:val="en-GB"/>
        </w:rPr>
        <w:t xml:space="preserve"> that the filling party or parties (the complainant</w:t>
      </w:r>
      <w:r>
        <w:rPr>
          <w:lang w:val="en-GB"/>
        </w:rPr>
        <w:t>/s) believe</w:t>
      </w:r>
      <w:r w:rsidRPr="005A43AC">
        <w:rPr>
          <w:lang w:val="en-GB"/>
        </w:rPr>
        <w:t xml:space="preserve"> are sufficient to support a claim against the party or parties against whom the c</w:t>
      </w:r>
      <w:r>
        <w:rPr>
          <w:lang w:val="en-GB"/>
        </w:rPr>
        <w:t>laim is brought (the respondent/s</w:t>
      </w:r>
      <w:r w:rsidRPr="005A43AC">
        <w:rPr>
          <w:lang w:val="en-GB"/>
        </w:rPr>
        <w:t>) that warrants a rel</w:t>
      </w:r>
      <w:r w:rsidR="00FB6DF4">
        <w:rPr>
          <w:lang w:val="en-GB"/>
        </w:rPr>
        <w:t>ief or entitles the complainant/</w:t>
      </w:r>
      <w:r w:rsidRPr="005A43AC">
        <w:rPr>
          <w:lang w:val="en-GB"/>
        </w:rPr>
        <w:t>s) to a remedy.</w:t>
      </w:r>
    </w:p>
    <w:p w:rsidR="005A43AC" w:rsidRPr="005A43AC" w:rsidRDefault="005A43AC" w:rsidP="005A43AC">
      <w:pPr>
        <w:rPr>
          <w:lang w:val="en-GB"/>
        </w:rPr>
      </w:pPr>
    </w:p>
    <w:p w:rsidR="00135F6A" w:rsidRDefault="009A6679" w:rsidP="007E1808">
      <w:pPr>
        <w:jc w:val="both"/>
        <w:rPr>
          <w:lang w:val="en-GB"/>
        </w:rPr>
      </w:pPr>
      <w:r w:rsidRPr="005A43AC">
        <w:rPr>
          <w:lang w:val="en-GB"/>
        </w:rPr>
        <w:t>A person may provide</w:t>
      </w:r>
      <w:r w:rsidR="00E66341" w:rsidRPr="005A43AC">
        <w:rPr>
          <w:lang w:val="en-GB"/>
        </w:rPr>
        <w:t xml:space="preserve"> information</w:t>
      </w:r>
      <w:r w:rsidRPr="005A43AC">
        <w:rPr>
          <w:lang w:val="en-GB"/>
        </w:rPr>
        <w:t>, in any manner to the Commission</w:t>
      </w:r>
      <w:r w:rsidR="008762D8" w:rsidRPr="005A43AC">
        <w:rPr>
          <w:lang w:val="en-GB"/>
        </w:rPr>
        <w:t>,</w:t>
      </w:r>
      <w:r w:rsidR="00E66341" w:rsidRPr="005A43AC">
        <w:rPr>
          <w:lang w:val="en-GB"/>
        </w:rPr>
        <w:t xml:space="preserve"> about perceived anti-competit</w:t>
      </w:r>
      <w:r w:rsidRPr="005A43AC">
        <w:rPr>
          <w:lang w:val="en-GB"/>
        </w:rPr>
        <w:t>ive behaviours</w:t>
      </w:r>
      <w:r w:rsidR="00135F6A">
        <w:rPr>
          <w:lang w:val="en-GB"/>
        </w:rPr>
        <w:t xml:space="preserve"> in any manner and at any time</w:t>
      </w:r>
      <w:r w:rsidR="00E66341" w:rsidRPr="005A43AC">
        <w:rPr>
          <w:lang w:val="en-GB"/>
        </w:rPr>
        <w:t xml:space="preserve">. </w:t>
      </w:r>
      <w:r w:rsidR="00135F6A">
        <w:rPr>
          <w:lang w:val="en-GB"/>
        </w:rPr>
        <w:t>A complainant, who provides information to the Commission, may request that his/her identity be treated as confidential information, but that person may be a complainant in the relevant matter only if he or she subsequently waives the request in writing.</w:t>
      </w:r>
    </w:p>
    <w:p w:rsidR="00A10632" w:rsidRDefault="00E66341" w:rsidP="007E1808">
      <w:pPr>
        <w:jc w:val="both"/>
        <w:rPr>
          <w:lang w:val="en-GB"/>
        </w:rPr>
      </w:pPr>
      <w:r w:rsidRPr="005A43AC">
        <w:rPr>
          <w:lang w:val="en-GB"/>
        </w:rPr>
        <w:t xml:space="preserve">The Commission </w:t>
      </w:r>
      <w:r w:rsidR="00203DB8" w:rsidRPr="005A43AC">
        <w:rPr>
          <w:lang w:val="en-GB"/>
        </w:rPr>
        <w:t>will</w:t>
      </w:r>
      <w:r w:rsidRPr="005A43AC">
        <w:rPr>
          <w:lang w:val="en-GB"/>
        </w:rPr>
        <w:t xml:space="preserve"> assess the vali</w:t>
      </w:r>
      <w:r w:rsidR="00203DB8" w:rsidRPr="005A43AC">
        <w:rPr>
          <w:lang w:val="en-GB"/>
        </w:rPr>
        <w:t>dity of the information</w:t>
      </w:r>
      <w:r w:rsidRPr="005A43AC">
        <w:rPr>
          <w:lang w:val="en-GB"/>
        </w:rPr>
        <w:t xml:space="preserve"> and decide whether</w:t>
      </w:r>
      <w:r w:rsidR="00620DD8" w:rsidRPr="005A43AC">
        <w:rPr>
          <w:lang w:val="en-GB"/>
        </w:rPr>
        <w:t xml:space="preserve"> or not</w:t>
      </w:r>
      <w:r w:rsidR="007F3C46" w:rsidRPr="005A43AC">
        <w:rPr>
          <w:lang w:val="en-GB"/>
        </w:rPr>
        <w:t xml:space="preserve"> to</w:t>
      </w:r>
      <w:r w:rsidR="00620DD8" w:rsidRPr="005A43AC">
        <w:rPr>
          <w:lang w:val="en-GB"/>
        </w:rPr>
        <w:t xml:space="preserve"> init</w:t>
      </w:r>
      <w:r w:rsidRPr="005A43AC">
        <w:rPr>
          <w:lang w:val="en-GB"/>
        </w:rPr>
        <w:t xml:space="preserve">iate a </w:t>
      </w:r>
      <w:r w:rsidR="00620DD8" w:rsidRPr="005A43AC">
        <w:rPr>
          <w:lang w:val="en-GB"/>
        </w:rPr>
        <w:t xml:space="preserve">complaint against </w:t>
      </w:r>
      <w:r w:rsidR="00B819CC">
        <w:rPr>
          <w:lang w:val="en-GB"/>
        </w:rPr>
        <w:t>an</w:t>
      </w:r>
      <w:r w:rsidR="00620DD8" w:rsidRPr="005A43AC">
        <w:rPr>
          <w:lang w:val="en-GB"/>
        </w:rPr>
        <w:t xml:space="preserve"> </w:t>
      </w:r>
      <w:r w:rsidR="000924C0">
        <w:rPr>
          <w:lang w:val="en-GB"/>
        </w:rPr>
        <w:t xml:space="preserve">alleged </w:t>
      </w:r>
      <w:r w:rsidR="00620DD8" w:rsidRPr="005A43AC">
        <w:rPr>
          <w:lang w:val="en-GB"/>
        </w:rPr>
        <w:t>perpetrator</w:t>
      </w:r>
      <w:r w:rsidR="00203DB8" w:rsidRPr="005A43AC">
        <w:rPr>
          <w:lang w:val="en-GB"/>
        </w:rPr>
        <w:t xml:space="preserve">. </w:t>
      </w:r>
      <w:r w:rsidR="00344B70">
        <w:rPr>
          <w:lang w:val="en-GB"/>
        </w:rPr>
        <w:t xml:space="preserve">In terms of the </w:t>
      </w:r>
      <w:r w:rsidR="00203DB8" w:rsidRPr="005A43AC">
        <w:rPr>
          <w:lang w:val="en-GB"/>
        </w:rPr>
        <w:t>complaint</w:t>
      </w:r>
      <w:r w:rsidR="00344B70">
        <w:rPr>
          <w:lang w:val="en-GB"/>
        </w:rPr>
        <w:t xml:space="preserve"> process</w:t>
      </w:r>
      <w:r w:rsidR="00203DB8" w:rsidRPr="005A43AC">
        <w:rPr>
          <w:lang w:val="en-GB"/>
        </w:rPr>
        <w:t>,</w:t>
      </w:r>
      <w:r w:rsidRPr="005A43AC">
        <w:rPr>
          <w:lang w:val="en-GB"/>
        </w:rPr>
        <w:t xml:space="preserve"> </w:t>
      </w:r>
      <w:r w:rsidR="00620DD8" w:rsidRPr="005A43AC">
        <w:rPr>
          <w:lang w:val="en-GB"/>
        </w:rPr>
        <w:t>the complainant i</w:t>
      </w:r>
      <w:r w:rsidR="007F3C46" w:rsidRPr="005A43AC">
        <w:rPr>
          <w:lang w:val="en-GB"/>
        </w:rPr>
        <w:t>s</w:t>
      </w:r>
      <w:r w:rsidR="00203DB8" w:rsidRPr="005A43AC">
        <w:rPr>
          <w:lang w:val="en-GB"/>
        </w:rPr>
        <w:t xml:space="preserve"> party to the investigation and should an infringement </w:t>
      </w:r>
      <w:r w:rsidR="00B819CC">
        <w:rPr>
          <w:lang w:val="en-GB"/>
        </w:rPr>
        <w:t>be found against the respondent/s</w:t>
      </w:r>
      <w:r w:rsidR="00203DB8" w:rsidRPr="005A43AC">
        <w:rPr>
          <w:lang w:val="en-GB"/>
        </w:rPr>
        <w:t xml:space="preserve">, the complainant having suffered losses as a result of the infringement may claim damages. </w:t>
      </w:r>
    </w:p>
    <w:p w:rsidR="00890229" w:rsidRPr="005A43AC" w:rsidRDefault="00203DB8" w:rsidP="007E1808">
      <w:pPr>
        <w:jc w:val="both"/>
        <w:rPr>
          <w:lang w:val="en-GB"/>
        </w:rPr>
      </w:pPr>
      <w:r w:rsidRPr="005A43AC">
        <w:rPr>
          <w:lang w:val="en-GB"/>
        </w:rPr>
        <w:t>Furthermore, a complaint should be made in the prescribed</w:t>
      </w:r>
      <w:r w:rsidR="00A34532" w:rsidRPr="005A43AC">
        <w:rPr>
          <w:lang w:val="en-GB"/>
        </w:rPr>
        <w:t xml:space="preserve"> format and</w:t>
      </w:r>
      <w:r w:rsidR="007F3C46" w:rsidRPr="005A43AC">
        <w:rPr>
          <w:lang w:val="en-GB"/>
        </w:rPr>
        <w:t xml:space="preserve"> </w:t>
      </w:r>
      <w:r w:rsidR="00A34532" w:rsidRPr="005A43AC">
        <w:rPr>
          <w:lang w:val="en-GB"/>
        </w:rPr>
        <w:t>must be as detailed</w:t>
      </w:r>
      <w:r w:rsidR="004F0A0C" w:rsidRPr="005A43AC">
        <w:rPr>
          <w:lang w:val="en-GB"/>
        </w:rPr>
        <w:t xml:space="preserve"> as possible</w:t>
      </w:r>
      <w:r w:rsidR="00890229" w:rsidRPr="005A43AC">
        <w:rPr>
          <w:lang w:val="en-GB"/>
        </w:rPr>
        <w:t>, provided that:</w:t>
      </w:r>
    </w:p>
    <w:p w:rsidR="008F295E" w:rsidRDefault="00761623" w:rsidP="008F295E">
      <w:pPr>
        <w:pStyle w:val="ListParagraph"/>
        <w:numPr>
          <w:ilvl w:val="0"/>
          <w:numId w:val="13"/>
        </w:numPr>
        <w:jc w:val="both"/>
        <w:rPr>
          <w:lang w:val="en-GB"/>
        </w:rPr>
      </w:pPr>
      <w:r w:rsidRPr="005A43AC">
        <w:rPr>
          <w:lang w:val="en-GB"/>
        </w:rPr>
        <w:t xml:space="preserve">It </w:t>
      </w:r>
      <w:r w:rsidR="008F295E" w:rsidRPr="005A43AC">
        <w:rPr>
          <w:lang w:val="en-GB"/>
        </w:rPr>
        <w:t xml:space="preserve">is in respect of the matter that is within the scope of the </w:t>
      </w:r>
      <w:r w:rsidR="008F295E" w:rsidRPr="005A43AC">
        <w:rPr>
          <w:i/>
          <w:lang w:val="en-GB"/>
        </w:rPr>
        <w:t>Act</w:t>
      </w:r>
      <w:r w:rsidR="008F295E" w:rsidRPr="005A43AC">
        <w:rPr>
          <w:lang w:val="en-GB"/>
        </w:rPr>
        <w:t>;</w:t>
      </w:r>
    </w:p>
    <w:p w:rsidR="00A10632" w:rsidRDefault="00A10632" w:rsidP="008F295E">
      <w:pPr>
        <w:pStyle w:val="ListParagraph"/>
        <w:numPr>
          <w:ilvl w:val="0"/>
          <w:numId w:val="13"/>
        </w:numPr>
        <w:jc w:val="both"/>
        <w:rPr>
          <w:lang w:val="en-GB"/>
        </w:rPr>
      </w:pPr>
      <w:r>
        <w:rPr>
          <w:lang w:val="en-GB"/>
        </w:rPr>
        <w:lastRenderedPageBreak/>
        <w:t>The complaint is done within three years from the date the infringement has ceased;</w:t>
      </w:r>
    </w:p>
    <w:p w:rsidR="006619AE" w:rsidRPr="005A43AC" w:rsidRDefault="008F295E">
      <w:pPr>
        <w:pStyle w:val="ListParagraph"/>
        <w:numPr>
          <w:ilvl w:val="0"/>
          <w:numId w:val="13"/>
        </w:numPr>
        <w:jc w:val="both"/>
        <w:rPr>
          <w:lang w:val="en-GB"/>
        </w:rPr>
      </w:pPr>
      <w:r w:rsidRPr="005A43AC">
        <w:rPr>
          <w:lang w:val="en-GB"/>
        </w:rPr>
        <w:t>the Commission has not initiated or has not already accepted a complaint; and</w:t>
      </w:r>
    </w:p>
    <w:p w:rsidR="006619AE" w:rsidRPr="005A43AC" w:rsidRDefault="00A10632">
      <w:pPr>
        <w:pStyle w:val="ListParagraph"/>
        <w:numPr>
          <w:ilvl w:val="0"/>
          <w:numId w:val="13"/>
        </w:numPr>
        <w:jc w:val="both"/>
        <w:rPr>
          <w:lang w:val="en-GB"/>
        </w:rPr>
      </w:pPr>
      <w:proofErr w:type="gramStart"/>
      <w:r>
        <w:rPr>
          <w:lang w:val="en-GB"/>
        </w:rPr>
        <w:t>the</w:t>
      </w:r>
      <w:proofErr w:type="gramEnd"/>
      <w:r>
        <w:rPr>
          <w:lang w:val="en-GB"/>
        </w:rPr>
        <w:t xml:space="preserve"> complaint is</w:t>
      </w:r>
      <w:r w:rsidR="00890229" w:rsidRPr="005A43AC">
        <w:rPr>
          <w:lang w:val="en-GB"/>
        </w:rPr>
        <w:t xml:space="preserve"> not frivolous</w:t>
      </w:r>
      <w:r w:rsidR="003F7F88">
        <w:rPr>
          <w:lang w:val="en-GB"/>
        </w:rPr>
        <w:t>.</w:t>
      </w:r>
    </w:p>
    <w:p w:rsidR="00015CCC" w:rsidRDefault="00015CCC" w:rsidP="00D20068">
      <w:pPr>
        <w:pStyle w:val="Heading2"/>
        <w:rPr>
          <w:rFonts w:asciiTheme="minorHAnsi" w:hAnsiTheme="minorHAnsi"/>
          <w:color w:val="auto"/>
          <w:sz w:val="22"/>
          <w:szCs w:val="22"/>
          <w:lang w:val="en-GB"/>
        </w:rPr>
      </w:pPr>
    </w:p>
    <w:p w:rsidR="00F21F2B" w:rsidRPr="005A43AC" w:rsidRDefault="002B412B" w:rsidP="00D20068">
      <w:pPr>
        <w:pStyle w:val="Heading2"/>
        <w:rPr>
          <w:rFonts w:asciiTheme="minorHAnsi" w:hAnsiTheme="minorHAnsi"/>
          <w:color w:val="auto"/>
          <w:sz w:val="22"/>
          <w:szCs w:val="22"/>
          <w:lang w:val="en-GB"/>
        </w:rPr>
      </w:pPr>
      <w:r w:rsidRPr="005A43AC">
        <w:rPr>
          <w:rFonts w:asciiTheme="minorHAnsi" w:hAnsiTheme="minorHAnsi"/>
          <w:color w:val="auto"/>
          <w:sz w:val="22"/>
          <w:szCs w:val="22"/>
          <w:lang w:val="en-GB"/>
        </w:rPr>
        <w:t>PREFERRED COMPLAINT FORMAT</w:t>
      </w:r>
    </w:p>
    <w:p w:rsidR="006E52D9" w:rsidRPr="005A43AC" w:rsidRDefault="002B412B" w:rsidP="00D20068">
      <w:pPr>
        <w:pStyle w:val="Heading3"/>
        <w:rPr>
          <w:rFonts w:asciiTheme="minorHAnsi" w:hAnsiTheme="minorHAnsi"/>
          <w:i/>
          <w:color w:val="auto"/>
          <w:lang w:val="en-GB"/>
        </w:rPr>
      </w:pPr>
      <w:r w:rsidRPr="005A43AC">
        <w:rPr>
          <w:rFonts w:asciiTheme="minorHAnsi" w:hAnsiTheme="minorHAnsi"/>
          <w:i/>
          <w:color w:val="auto"/>
          <w:lang w:val="en-GB"/>
        </w:rPr>
        <w:t>FORM</w:t>
      </w:r>
      <w:r w:rsidR="006E52D9" w:rsidRPr="005A43AC">
        <w:rPr>
          <w:rFonts w:asciiTheme="minorHAnsi" w:hAnsiTheme="minorHAnsi"/>
          <w:i/>
          <w:color w:val="auto"/>
          <w:lang w:val="en-GB"/>
        </w:rPr>
        <w:t xml:space="preserve"> 2</w:t>
      </w:r>
      <w:r w:rsidR="007E1808" w:rsidRPr="005A43AC">
        <w:rPr>
          <w:rFonts w:asciiTheme="minorHAnsi" w:hAnsiTheme="minorHAnsi"/>
          <w:i/>
          <w:color w:val="auto"/>
          <w:lang w:val="en-GB"/>
        </w:rPr>
        <w:t>: Complaint</w:t>
      </w:r>
    </w:p>
    <w:p w:rsidR="00F21F2B" w:rsidRPr="005A43AC" w:rsidRDefault="00F21F2B" w:rsidP="007E1808">
      <w:pPr>
        <w:jc w:val="both"/>
        <w:rPr>
          <w:rFonts w:eastAsia="Calibri" w:cs="Times New Roman"/>
        </w:rPr>
      </w:pPr>
      <w:r w:rsidRPr="005A43AC">
        <w:rPr>
          <w:rFonts w:eastAsia="Calibri" w:cs="Times New Roman"/>
        </w:rPr>
        <w:t>A person wishing to lodge a complaint with the Commission may submit a complai</w:t>
      </w:r>
      <w:r w:rsidR="0064075B" w:rsidRPr="005A43AC">
        <w:rPr>
          <w:rFonts w:eastAsia="Calibri" w:cs="Times New Roman"/>
        </w:rPr>
        <w:t>nt to the Commission by</w:t>
      </w:r>
      <w:r w:rsidRPr="005A43AC">
        <w:rPr>
          <w:rFonts w:eastAsia="Calibri" w:cs="Times New Roman"/>
        </w:rPr>
        <w:t xml:space="preserve"> complet</w:t>
      </w:r>
      <w:r w:rsidR="0064075B" w:rsidRPr="005A43AC">
        <w:rPr>
          <w:rFonts w:eastAsia="Calibri" w:cs="Times New Roman"/>
        </w:rPr>
        <w:t>ing</w:t>
      </w:r>
      <w:r w:rsidRPr="005A43AC">
        <w:rPr>
          <w:rFonts w:eastAsia="Calibri" w:cs="Times New Roman"/>
        </w:rPr>
        <w:t xml:space="preserve"> Form 2. </w:t>
      </w:r>
      <w:r w:rsidR="00015CCC">
        <w:rPr>
          <w:rFonts w:eastAsia="Calibri" w:cs="Times New Roman"/>
        </w:rPr>
        <w:t>This form</w:t>
      </w:r>
      <w:r w:rsidRPr="005A43AC">
        <w:rPr>
          <w:rFonts w:eastAsia="Calibri" w:cs="Times New Roman"/>
        </w:rPr>
        <w:t xml:space="preserve"> is contained in the </w:t>
      </w:r>
      <w:r w:rsidRPr="005A43AC">
        <w:rPr>
          <w:rFonts w:eastAsia="Calibri" w:cs="Times New Roman"/>
          <w:i/>
        </w:rPr>
        <w:t xml:space="preserve">Rules made under the </w:t>
      </w:r>
      <w:r w:rsidRPr="005A43AC">
        <w:rPr>
          <w:rFonts w:eastAsia="Calibri" w:cs="Times New Roman"/>
          <w:i/>
          <w:iCs/>
        </w:rPr>
        <w:t>Competition Act</w:t>
      </w:r>
      <w:r w:rsidR="009A6679" w:rsidRPr="005A43AC">
        <w:rPr>
          <w:rFonts w:eastAsia="Calibri" w:cs="Times New Roman"/>
          <w:iCs/>
        </w:rPr>
        <w:t xml:space="preserve"> (the “</w:t>
      </w:r>
      <w:r w:rsidR="009A6679" w:rsidRPr="005A43AC">
        <w:rPr>
          <w:rFonts w:eastAsia="Calibri" w:cs="Times New Roman"/>
          <w:i/>
          <w:iCs/>
        </w:rPr>
        <w:t>Rules</w:t>
      </w:r>
      <w:r w:rsidR="009A6679" w:rsidRPr="005A43AC">
        <w:rPr>
          <w:rFonts w:eastAsia="Calibri" w:cs="Times New Roman"/>
          <w:iCs/>
        </w:rPr>
        <w:t>”)</w:t>
      </w:r>
      <w:r w:rsidR="00426476" w:rsidRPr="005A43AC">
        <w:t xml:space="preserve"> and can</w:t>
      </w:r>
      <w:r w:rsidR="0064075B" w:rsidRPr="005A43AC">
        <w:t xml:space="preserve"> also</w:t>
      </w:r>
      <w:r w:rsidR="00426476" w:rsidRPr="005A43AC">
        <w:t xml:space="preserve"> be obtained from the Com</w:t>
      </w:r>
      <w:r w:rsidR="0064075B" w:rsidRPr="005A43AC">
        <w:t>mission</w:t>
      </w:r>
      <w:r w:rsidR="00591FDF" w:rsidRPr="005A43AC">
        <w:t xml:space="preserve"> </w:t>
      </w:r>
      <w:r w:rsidR="00E156CE">
        <w:t>or</w:t>
      </w:r>
      <w:r w:rsidR="00216108">
        <w:t xml:space="preserve"> be</w:t>
      </w:r>
      <w:r w:rsidR="00591FDF" w:rsidRPr="005A43AC">
        <w:t xml:space="preserve"> downloaded from the Commission’s website</w:t>
      </w:r>
      <w:r w:rsidR="00216108">
        <w:t>,</w:t>
      </w:r>
      <w:r w:rsidR="00591FDF" w:rsidRPr="005A43AC">
        <w:t xml:space="preserve"> </w:t>
      </w:r>
      <w:hyperlink r:id="rId9" w:history="1">
        <w:r w:rsidR="00591FDF" w:rsidRPr="005A43AC">
          <w:rPr>
            <w:rStyle w:val="Hyperlink"/>
            <w:color w:val="auto"/>
          </w:rPr>
          <w:t>www.nacc.com.na</w:t>
        </w:r>
      </w:hyperlink>
      <w:r w:rsidR="008F295E" w:rsidRPr="005A43AC">
        <w:t>.</w:t>
      </w:r>
      <w:r w:rsidRPr="005A43AC">
        <w:rPr>
          <w:rFonts w:eastAsia="Calibri" w:cs="Times New Roman"/>
        </w:rPr>
        <w:t xml:space="preserve"> Form 2 makes provisions by way of blocks</w:t>
      </w:r>
      <w:r w:rsidR="00216108">
        <w:rPr>
          <w:rFonts w:eastAsia="Calibri" w:cs="Times New Roman"/>
        </w:rPr>
        <w:t>,</w:t>
      </w:r>
      <w:r w:rsidRPr="005A43AC">
        <w:rPr>
          <w:rFonts w:eastAsia="Calibri" w:cs="Times New Roman"/>
        </w:rPr>
        <w:t xml:space="preserve"> among others</w:t>
      </w:r>
      <w:r w:rsidR="00216108">
        <w:rPr>
          <w:rFonts w:eastAsia="Calibri" w:cs="Times New Roman"/>
        </w:rPr>
        <w:t>,</w:t>
      </w:r>
      <w:r w:rsidRPr="005A43AC">
        <w:rPr>
          <w:rFonts w:eastAsia="Calibri" w:cs="Times New Roman"/>
        </w:rPr>
        <w:t xml:space="preserve"> for the following:</w:t>
      </w:r>
    </w:p>
    <w:p w:rsidR="00F21F2B" w:rsidRPr="005A43AC" w:rsidRDefault="008F295E" w:rsidP="007E1808">
      <w:pPr>
        <w:pStyle w:val="ListParagraph"/>
        <w:numPr>
          <w:ilvl w:val="0"/>
          <w:numId w:val="2"/>
        </w:numPr>
        <w:spacing w:after="0"/>
        <w:contextualSpacing w:val="0"/>
        <w:jc w:val="both"/>
        <w:rPr>
          <w:rFonts w:eastAsia="Calibri" w:cs="Times New Roman"/>
        </w:rPr>
      </w:pPr>
      <w:r w:rsidRPr="005A43AC">
        <w:rPr>
          <w:rFonts w:eastAsia="Calibri" w:cs="Times New Roman"/>
        </w:rPr>
        <w:t>t</w:t>
      </w:r>
      <w:r w:rsidR="00F21F2B" w:rsidRPr="005A43AC">
        <w:rPr>
          <w:rFonts w:eastAsia="Calibri" w:cs="Times New Roman"/>
        </w:rPr>
        <w:t xml:space="preserve">he </w:t>
      </w:r>
      <w:r w:rsidR="00216108">
        <w:rPr>
          <w:rFonts w:eastAsia="Calibri" w:cs="Times New Roman"/>
        </w:rPr>
        <w:t>name of person/s submitting complaint</w:t>
      </w:r>
      <w:r w:rsidR="00F21F2B" w:rsidRPr="005A43AC">
        <w:rPr>
          <w:rFonts w:eastAsia="Calibri" w:cs="Times New Roman"/>
        </w:rPr>
        <w:t>;</w:t>
      </w:r>
    </w:p>
    <w:p w:rsidR="00F21F2B" w:rsidRPr="005A43AC" w:rsidRDefault="008F295E" w:rsidP="007E1808">
      <w:pPr>
        <w:pStyle w:val="ListParagraph"/>
        <w:numPr>
          <w:ilvl w:val="0"/>
          <w:numId w:val="2"/>
        </w:numPr>
        <w:spacing w:after="0"/>
        <w:contextualSpacing w:val="0"/>
        <w:jc w:val="both"/>
        <w:rPr>
          <w:rFonts w:eastAsia="Calibri" w:cs="Times New Roman"/>
        </w:rPr>
      </w:pPr>
      <w:r w:rsidRPr="005A43AC">
        <w:rPr>
          <w:rFonts w:eastAsia="Calibri" w:cs="Times New Roman"/>
        </w:rPr>
        <w:t xml:space="preserve">the </w:t>
      </w:r>
      <w:r w:rsidR="00216108">
        <w:rPr>
          <w:rFonts w:eastAsia="Calibri" w:cs="Times New Roman"/>
        </w:rPr>
        <w:t>name of person/s whose conduct is the subject of the complaint</w:t>
      </w:r>
      <w:r w:rsidR="00F21F2B" w:rsidRPr="005A43AC">
        <w:rPr>
          <w:rFonts w:eastAsia="Calibri" w:cs="Times New Roman"/>
        </w:rPr>
        <w:t>;</w:t>
      </w:r>
    </w:p>
    <w:p w:rsidR="00F21F2B" w:rsidRPr="005A43AC" w:rsidRDefault="00216108" w:rsidP="007E1808">
      <w:pPr>
        <w:pStyle w:val="ListParagraph"/>
        <w:numPr>
          <w:ilvl w:val="0"/>
          <w:numId w:val="2"/>
        </w:numPr>
        <w:spacing w:after="0"/>
        <w:contextualSpacing w:val="0"/>
        <w:jc w:val="both"/>
      </w:pPr>
      <w:r>
        <w:rPr>
          <w:rFonts w:eastAsia="Calibri" w:cs="Times New Roman"/>
        </w:rPr>
        <w:t xml:space="preserve">a concise statement </w:t>
      </w:r>
      <w:r w:rsidR="00F21F2B" w:rsidRPr="005A43AC">
        <w:rPr>
          <w:rFonts w:eastAsia="Calibri" w:cs="Times New Roman"/>
        </w:rPr>
        <w:t>of the complaint;</w:t>
      </w:r>
    </w:p>
    <w:p w:rsidR="00426476" w:rsidRPr="005A43AC" w:rsidRDefault="008F295E" w:rsidP="007E1808">
      <w:pPr>
        <w:pStyle w:val="Pa7"/>
        <w:numPr>
          <w:ilvl w:val="0"/>
          <w:numId w:val="2"/>
        </w:numPr>
        <w:spacing w:line="276" w:lineRule="auto"/>
        <w:jc w:val="both"/>
        <w:rPr>
          <w:rFonts w:asciiTheme="minorHAnsi" w:hAnsiTheme="minorHAnsi"/>
          <w:sz w:val="22"/>
          <w:szCs w:val="22"/>
        </w:rPr>
      </w:pPr>
      <w:r w:rsidRPr="005A43AC">
        <w:rPr>
          <w:rStyle w:val="A2"/>
          <w:rFonts w:asciiTheme="minorHAnsi" w:hAnsiTheme="minorHAnsi"/>
          <w:color w:val="auto"/>
          <w:sz w:val="22"/>
          <w:szCs w:val="22"/>
        </w:rPr>
        <w:t>t</w:t>
      </w:r>
      <w:r w:rsidR="00426476" w:rsidRPr="005A43AC">
        <w:rPr>
          <w:rStyle w:val="A2"/>
          <w:rFonts w:asciiTheme="minorHAnsi" w:hAnsiTheme="minorHAnsi"/>
          <w:color w:val="auto"/>
          <w:sz w:val="22"/>
          <w:szCs w:val="22"/>
        </w:rPr>
        <w:t xml:space="preserve">he dates on which the conduct occurred; </w:t>
      </w:r>
    </w:p>
    <w:p w:rsidR="00426476" w:rsidRPr="005A43AC" w:rsidRDefault="008F295E" w:rsidP="007E1808">
      <w:pPr>
        <w:pStyle w:val="Pa7"/>
        <w:numPr>
          <w:ilvl w:val="0"/>
          <w:numId w:val="2"/>
        </w:numPr>
        <w:spacing w:line="276" w:lineRule="auto"/>
        <w:jc w:val="both"/>
        <w:rPr>
          <w:rFonts w:asciiTheme="minorHAnsi" w:hAnsiTheme="minorHAnsi"/>
          <w:sz w:val="22"/>
          <w:szCs w:val="22"/>
        </w:rPr>
      </w:pPr>
      <w:r w:rsidRPr="005A43AC">
        <w:rPr>
          <w:rStyle w:val="A2"/>
          <w:rFonts w:asciiTheme="minorHAnsi" w:hAnsiTheme="minorHAnsi"/>
          <w:color w:val="auto"/>
          <w:sz w:val="22"/>
          <w:szCs w:val="22"/>
        </w:rPr>
        <w:t>a</w:t>
      </w:r>
      <w:r w:rsidR="00426476" w:rsidRPr="005A43AC">
        <w:rPr>
          <w:rStyle w:val="A2"/>
          <w:rFonts w:asciiTheme="minorHAnsi" w:hAnsiTheme="minorHAnsi"/>
          <w:color w:val="auto"/>
          <w:sz w:val="22"/>
          <w:szCs w:val="22"/>
        </w:rPr>
        <w:t xml:space="preserve"> statement indicating when and how </w:t>
      </w:r>
      <w:r w:rsidRPr="005A43AC">
        <w:rPr>
          <w:rStyle w:val="A2"/>
          <w:rFonts w:asciiTheme="minorHAnsi" w:hAnsiTheme="minorHAnsi"/>
          <w:color w:val="auto"/>
          <w:sz w:val="22"/>
          <w:szCs w:val="22"/>
        </w:rPr>
        <w:t>you became aware of the conduct;</w:t>
      </w:r>
      <w:r w:rsidR="00426476" w:rsidRPr="005A43AC">
        <w:rPr>
          <w:rStyle w:val="A2"/>
          <w:rFonts w:asciiTheme="minorHAnsi" w:hAnsiTheme="minorHAnsi"/>
          <w:color w:val="auto"/>
          <w:sz w:val="22"/>
          <w:szCs w:val="22"/>
        </w:rPr>
        <w:t xml:space="preserve"> </w:t>
      </w:r>
    </w:p>
    <w:p w:rsidR="00216108" w:rsidRDefault="008F295E" w:rsidP="007E1808">
      <w:pPr>
        <w:pStyle w:val="Pa7"/>
        <w:numPr>
          <w:ilvl w:val="0"/>
          <w:numId w:val="2"/>
        </w:numPr>
        <w:spacing w:line="276" w:lineRule="auto"/>
        <w:jc w:val="both"/>
        <w:rPr>
          <w:rStyle w:val="A2"/>
          <w:rFonts w:asciiTheme="minorHAnsi" w:hAnsiTheme="minorHAnsi"/>
          <w:color w:val="auto"/>
          <w:sz w:val="22"/>
          <w:szCs w:val="22"/>
        </w:rPr>
      </w:pPr>
      <w:r w:rsidRPr="005A43AC">
        <w:rPr>
          <w:rStyle w:val="A2"/>
          <w:rFonts w:asciiTheme="minorHAnsi" w:hAnsiTheme="minorHAnsi"/>
          <w:color w:val="auto"/>
          <w:sz w:val="22"/>
          <w:szCs w:val="22"/>
        </w:rPr>
        <w:t>a</w:t>
      </w:r>
      <w:r w:rsidR="00426476" w:rsidRPr="005A43AC">
        <w:rPr>
          <w:rStyle w:val="A2"/>
          <w:rFonts w:asciiTheme="minorHAnsi" w:hAnsiTheme="minorHAnsi"/>
          <w:color w:val="auto"/>
          <w:sz w:val="22"/>
          <w:szCs w:val="22"/>
        </w:rPr>
        <w:t>ny other information you consider relevant</w:t>
      </w:r>
      <w:r w:rsidRPr="005A43AC">
        <w:rPr>
          <w:rStyle w:val="A2"/>
          <w:rFonts w:asciiTheme="minorHAnsi" w:hAnsiTheme="minorHAnsi"/>
          <w:color w:val="auto"/>
          <w:sz w:val="22"/>
          <w:szCs w:val="22"/>
        </w:rPr>
        <w:t xml:space="preserve">; </w:t>
      </w:r>
    </w:p>
    <w:p w:rsidR="00426476" w:rsidRPr="005A43AC" w:rsidRDefault="002E0CD1" w:rsidP="007E1808">
      <w:pPr>
        <w:pStyle w:val="Pa7"/>
        <w:numPr>
          <w:ilvl w:val="0"/>
          <w:numId w:val="2"/>
        </w:numPr>
        <w:spacing w:line="276" w:lineRule="auto"/>
        <w:jc w:val="both"/>
        <w:rPr>
          <w:rStyle w:val="A2"/>
          <w:rFonts w:asciiTheme="minorHAnsi" w:hAnsiTheme="minorHAnsi"/>
          <w:color w:val="auto"/>
          <w:sz w:val="22"/>
          <w:szCs w:val="22"/>
        </w:rPr>
      </w:pPr>
      <w:proofErr w:type="gramStart"/>
      <w:r>
        <w:rPr>
          <w:rStyle w:val="A2"/>
          <w:rFonts w:asciiTheme="minorHAnsi" w:hAnsiTheme="minorHAnsi"/>
          <w:color w:val="auto"/>
          <w:sz w:val="22"/>
          <w:szCs w:val="22"/>
        </w:rPr>
        <w:t>is</w:t>
      </w:r>
      <w:proofErr w:type="gramEnd"/>
      <w:r>
        <w:rPr>
          <w:rStyle w:val="A2"/>
          <w:rFonts w:asciiTheme="minorHAnsi" w:hAnsiTheme="minorHAnsi"/>
          <w:color w:val="auto"/>
          <w:sz w:val="22"/>
          <w:szCs w:val="22"/>
        </w:rPr>
        <w:t xml:space="preserve"> the conduct continuing? and</w:t>
      </w:r>
    </w:p>
    <w:p w:rsidR="000D4984" w:rsidRPr="005A43AC" w:rsidRDefault="008F295E" w:rsidP="00620DD8">
      <w:pPr>
        <w:pStyle w:val="Pa7"/>
        <w:numPr>
          <w:ilvl w:val="0"/>
          <w:numId w:val="2"/>
        </w:numPr>
        <w:spacing w:after="240" w:line="276" w:lineRule="auto"/>
        <w:jc w:val="both"/>
        <w:rPr>
          <w:rFonts w:asciiTheme="minorHAnsi" w:hAnsiTheme="minorHAnsi"/>
          <w:sz w:val="22"/>
          <w:szCs w:val="22"/>
        </w:rPr>
      </w:pPr>
      <w:proofErr w:type="gramStart"/>
      <w:r w:rsidRPr="005A43AC">
        <w:rPr>
          <w:rStyle w:val="A2"/>
          <w:rFonts w:asciiTheme="minorHAnsi" w:hAnsiTheme="minorHAnsi"/>
          <w:color w:val="auto"/>
          <w:sz w:val="22"/>
          <w:szCs w:val="22"/>
        </w:rPr>
        <w:t>r</w:t>
      </w:r>
      <w:r w:rsidR="00EC3B36" w:rsidRPr="005A43AC">
        <w:rPr>
          <w:rStyle w:val="A2"/>
          <w:rFonts w:asciiTheme="minorHAnsi" w:hAnsiTheme="minorHAnsi"/>
          <w:color w:val="auto"/>
          <w:sz w:val="22"/>
          <w:szCs w:val="22"/>
        </w:rPr>
        <w:t>elief</w:t>
      </w:r>
      <w:proofErr w:type="gramEnd"/>
      <w:r w:rsidR="00EC3B36" w:rsidRPr="005A43AC">
        <w:rPr>
          <w:rStyle w:val="A2"/>
          <w:rFonts w:asciiTheme="minorHAnsi" w:hAnsiTheme="minorHAnsi"/>
          <w:color w:val="auto"/>
          <w:sz w:val="22"/>
          <w:szCs w:val="22"/>
        </w:rPr>
        <w:t xml:space="preserve"> claimed.</w:t>
      </w:r>
    </w:p>
    <w:p w:rsidR="000D4984" w:rsidRPr="005A43AC" w:rsidRDefault="0064075B" w:rsidP="00620DD8">
      <w:pPr>
        <w:spacing w:after="240"/>
        <w:jc w:val="both"/>
        <w:rPr>
          <w:lang w:val="en-GB"/>
        </w:rPr>
      </w:pPr>
      <w:r w:rsidRPr="005A43AC">
        <w:rPr>
          <w:lang w:val="en-GB"/>
        </w:rPr>
        <w:t>A complain</w:t>
      </w:r>
      <w:r w:rsidR="000D4984" w:rsidRPr="005A43AC">
        <w:rPr>
          <w:lang w:val="en-GB"/>
        </w:rPr>
        <w:t>t must</w:t>
      </w:r>
      <w:r w:rsidRPr="005A43AC">
        <w:rPr>
          <w:lang w:val="en-GB"/>
        </w:rPr>
        <w:t xml:space="preserve"> indicate</w:t>
      </w:r>
      <w:r w:rsidR="000D4984" w:rsidRPr="005A43AC">
        <w:rPr>
          <w:lang w:val="en-GB"/>
        </w:rPr>
        <w:t xml:space="preserve"> whether the alleged anti-competitive behaviour is continuing or not. If not, the date the behaviour has ceased must be specified. However, it sho</w:t>
      </w:r>
      <w:r w:rsidRPr="005A43AC">
        <w:rPr>
          <w:lang w:val="en-GB"/>
        </w:rPr>
        <w:t>uld be noted that the Commission does</w:t>
      </w:r>
      <w:r w:rsidR="000D4984" w:rsidRPr="005A43AC">
        <w:rPr>
          <w:lang w:val="en-GB"/>
        </w:rPr>
        <w:t xml:space="preserve"> not investigate anti-competitive behaviour three (3) years from the date it has ceased.</w:t>
      </w:r>
    </w:p>
    <w:p w:rsidR="00D20068" w:rsidRPr="005A43AC" w:rsidRDefault="00D20068" w:rsidP="000D4984">
      <w:pPr>
        <w:jc w:val="both"/>
        <w:rPr>
          <w:lang w:val="en-GB"/>
        </w:rPr>
      </w:pPr>
    </w:p>
    <w:p w:rsidR="00C82603" w:rsidRPr="005A43AC" w:rsidRDefault="00C82603" w:rsidP="00D20068">
      <w:pPr>
        <w:pStyle w:val="Heading3"/>
        <w:rPr>
          <w:rFonts w:asciiTheme="minorHAnsi" w:hAnsiTheme="minorHAnsi"/>
          <w:i/>
          <w:color w:val="auto"/>
          <w:lang w:val="en-GB"/>
        </w:rPr>
      </w:pPr>
      <w:r w:rsidRPr="005A43AC">
        <w:rPr>
          <w:rFonts w:asciiTheme="minorHAnsi" w:hAnsiTheme="minorHAnsi"/>
          <w:i/>
          <w:color w:val="auto"/>
          <w:lang w:val="en-GB"/>
        </w:rPr>
        <w:t>F</w:t>
      </w:r>
      <w:r w:rsidR="00F7078E">
        <w:rPr>
          <w:rFonts w:asciiTheme="minorHAnsi" w:hAnsiTheme="minorHAnsi"/>
          <w:i/>
          <w:color w:val="auto"/>
          <w:lang w:val="en-GB"/>
        </w:rPr>
        <w:t>orm</w:t>
      </w:r>
      <w:r w:rsidRPr="005A43AC">
        <w:rPr>
          <w:rFonts w:asciiTheme="minorHAnsi" w:hAnsiTheme="minorHAnsi"/>
          <w:i/>
          <w:color w:val="auto"/>
          <w:lang w:val="en-GB"/>
        </w:rPr>
        <w:t xml:space="preserve"> 1</w:t>
      </w:r>
      <w:r w:rsidR="00F7078E">
        <w:rPr>
          <w:rFonts w:asciiTheme="minorHAnsi" w:hAnsiTheme="minorHAnsi"/>
          <w:i/>
          <w:color w:val="auto"/>
          <w:lang w:val="en-GB"/>
        </w:rPr>
        <w:t>-</w:t>
      </w:r>
      <w:r w:rsidRPr="005A43AC">
        <w:rPr>
          <w:rFonts w:asciiTheme="minorHAnsi" w:hAnsiTheme="minorHAnsi"/>
          <w:i/>
          <w:color w:val="auto"/>
          <w:lang w:val="en-GB"/>
        </w:rPr>
        <w:t xml:space="preserve"> Confidentiality Claim</w:t>
      </w:r>
    </w:p>
    <w:p w:rsidR="00C82603" w:rsidRPr="005A43AC" w:rsidRDefault="00C82603" w:rsidP="00C82603">
      <w:pPr>
        <w:tabs>
          <w:tab w:val="left" w:pos="426"/>
        </w:tabs>
        <w:jc w:val="both"/>
      </w:pPr>
      <w:r w:rsidRPr="005A43AC">
        <w:rPr>
          <w:lang w:val="en-GB"/>
        </w:rPr>
        <w:t xml:space="preserve">Any person filing </w:t>
      </w:r>
      <w:r w:rsidR="0064075B" w:rsidRPr="005A43AC">
        <w:rPr>
          <w:lang w:val="en-GB"/>
        </w:rPr>
        <w:t>a complaint may attach any information and/or</w:t>
      </w:r>
      <w:r w:rsidRPr="005A43AC">
        <w:rPr>
          <w:lang w:val="en-GB"/>
        </w:rPr>
        <w:t xml:space="preserve"> document</w:t>
      </w:r>
      <w:r w:rsidR="0064075B" w:rsidRPr="005A43AC">
        <w:rPr>
          <w:lang w:val="en-GB"/>
        </w:rPr>
        <w:t>(</w:t>
      </w:r>
      <w:r w:rsidRPr="005A43AC">
        <w:rPr>
          <w:lang w:val="en-GB"/>
        </w:rPr>
        <w:t>s</w:t>
      </w:r>
      <w:r w:rsidR="0064075B" w:rsidRPr="005A43AC">
        <w:rPr>
          <w:lang w:val="en-GB"/>
        </w:rPr>
        <w:t>)</w:t>
      </w:r>
      <w:r w:rsidRPr="005A43AC">
        <w:rPr>
          <w:lang w:val="en-GB"/>
        </w:rPr>
        <w:t xml:space="preserve"> he/she </w:t>
      </w:r>
      <w:r w:rsidR="0064075B" w:rsidRPr="005A43AC">
        <w:rPr>
          <w:lang w:val="en-GB"/>
        </w:rPr>
        <w:t>thinks is relevant for</w:t>
      </w:r>
      <w:r w:rsidRPr="005A43AC">
        <w:rPr>
          <w:lang w:val="en-GB"/>
        </w:rPr>
        <w:t xml:space="preserve"> the Commission’s investigation. However, should the person deem </w:t>
      </w:r>
      <w:r w:rsidRPr="005A43AC">
        <w:t>all or some of the information accompanying the complaint</w:t>
      </w:r>
      <w:r w:rsidR="0064075B" w:rsidRPr="005A43AC">
        <w:t xml:space="preserve"> as confidential, he or she should</w:t>
      </w:r>
      <w:r w:rsidRPr="005A43AC">
        <w:t xml:space="preserve"> complete a Form 1 which can be obtain at the Commission’s premises or easily be downloaded from </w:t>
      </w:r>
      <w:r w:rsidR="004B1569">
        <w:t>i</w:t>
      </w:r>
      <w:r w:rsidRPr="005A43AC">
        <w:t>t</w:t>
      </w:r>
      <w:r w:rsidR="004B1569">
        <w:t>s</w:t>
      </w:r>
      <w:r w:rsidRPr="005A43AC">
        <w:t xml:space="preserve"> website</w:t>
      </w:r>
      <w:r w:rsidR="004B1569">
        <w:t>.</w:t>
      </w:r>
      <w:r w:rsidRPr="005A43AC">
        <w:t xml:space="preserve"> </w:t>
      </w:r>
      <w:r w:rsidR="00D77A6D">
        <w:t>A complaint and any information received by the Commission during its consideration of the application, or revocation of an exemption granted to the applicant, are regarded confidential information only to the extent provided for in rule 11 which deals with the right of informants to claim confidentiality or request restricted access.</w:t>
      </w:r>
      <w:r w:rsidRPr="005A43AC">
        <w:t xml:space="preserve"> </w:t>
      </w:r>
    </w:p>
    <w:p w:rsidR="00C82603" w:rsidRPr="005A43AC" w:rsidRDefault="00C82603" w:rsidP="00AE0261">
      <w:pPr>
        <w:jc w:val="both"/>
        <w:rPr>
          <w:b/>
          <w:lang w:val="en-GB"/>
        </w:rPr>
      </w:pPr>
    </w:p>
    <w:p w:rsidR="000D4984" w:rsidRPr="005A43AC" w:rsidRDefault="00EB354B" w:rsidP="00D20068">
      <w:pPr>
        <w:pStyle w:val="Heading2"/>
        <w:rPr>
          <w:rFonts w:asciiTheme="minorHAnsi" w:hAnsiTheme="minorHAnsi"/>
          <w:i/>
          <w:color w:val="auto"/>
          <w:sz w:val="22"/>
          <w:szCs w:val="22"/>
          <w:lang w:val="en-GB"/>
        </w:rPr>
      </w:pPr>
      <w:r w:rsidRPr="005A43AC">
        <w:rPr>
          <w:rFonts w:asciiTheme="minorHAnsi" w:hAnsiTheme="minorHAnsi"/>
          <w:i/>
          <w:color w:val="auto"/>
          <w:sz w:val="22"/>
          <w:szCs w:val="22"/>
          <w:lang w:val="en-GB"/>
        </w:rPr>
        <w:t>S</w:t>
      </w:r>
      <w:r w:rsidR="00F7078E">
        <w:rPr>
          <w:rFonts w:asciiTheme="minorHAnsi" w:hAnsiTheme="minorHAnsi"/>
          <w:i/>
          <w:color w:val="auto"/>
          <w:sz w:val="22"/>
          <w:szCs w:val="22"/>
          <w:lang w:val="en-GB"/>
        </w:rPr>
        <w:t xml:space="preserve">tatements and </w:t>
      </w:r>
      <w:r w:rsidR="000D4984" w:rsidRPr="005A43AC">
        <w:rPr>
          <w:rFonts w:asciiTheme="minorHAnsi" w:hAnsiTheme="minorHAnsi"/>
          <w:i/>
          <w:color w:val="auto"/>
          <w:sz w:val="22"/>
          <w:szCs w:val="22"/>
          <w:lang w:val="en-GB"/>
        </w:rPr>
        <w:t>A</w:t>
      </w:r>
      <w:r w:rsidR="00F7078E">
        <w:rPr>
          <w:rFonts w:asciiTheme="minorHAnsi" w:hAnsiTheme="minorHAnsi"/>
          <w:i/>
          <w:color w:val="auto"/>
          <w:sz w:val="22"/>
          <w:szCs w:val="22"/>
          <w:lang w:val="en-GB"/>
        </w:rPr>
        <w:t>ffidavits</w:t>
      </w:r>
    </w:p>
    <w:p w:rsidR="00AE0261" w:rsidRPr="005A43AC" w:rsidRDefault="000D4984" w:rsidP="00AE0261">
      <w:pPr>
        <w:jc w:val="both"/>
        <w:rPr>
          <w:lang w:val="en-GB"/>
        </w:rPr>
      </w:pPr>
      <w:r w:rsidRPr="005A43AC">
        <w:rPr>
          <w:lang w:val="en-GB"/>
        </w:rPr>
        <w:t>A complaint should be accompanied by a statement</w:t>
      </w:r>
      <w:r w:rsidR="007D2EDF" w:rsidRPr="005A43AC">
        <w:rPr>
          <w:lang w:val="en-GB"/>
        </w:rPr>
        <w:t xml:space="preserve"> detailing the facts of the complaint</w:t>
      </w:r>
      <w:r w:rsidR="0064075B" w:rsidRPr="005A43AC">
        <w:rPr>
          <w:lang w:val="en-GB"/>
        </w:rPr>
        <w:t xml:space="preserve"> highlighted in Form 2 </w:t>
      </w:r>
      <w:r w:rsidR="00766ABF">
        <w:rPr>
          <w:lang w:val="en-GB"/>
        </w:rPr>
        <w:t>as well as</w:t>
      </w:r>
      <w:r w:rsidR="0064075B" w:rsidRPr="005A43AC">
        <w:rPr>
          <w:lang w:val="en-GB"/>
        </w:rPr>
        <w:t xml:space="preserve"> detailed</w:t>
      </w:r>
      <w:r w:rsidR="00AE0261" w:rsidRPr="005A43AC">
        <w:rPr>
          <w:lang w:val="en-GB"/>
        </w:rPr>
        <w:t xml:space="preserve"> information about the market the alleged anti-competitive behaviour is taking/has taken place</w:t>
      </w:r>
      <w:r w:rsidR="00766ABF">
        <w:rPr>
          <w:lang w:val="en-GB"/>
        </w:rPr>
        <w:t xml:space="preserve"> in</w:t>
      </w:r>
      <w:r w:rsidR="00AE0261" w:rsidRPr="005A43AC">
        <w:rPr>
          <w:lang w:val="en-GB"/>
        </w:rPr>
        <w:t>, products and services involved, as well as product names and descriptions.</w:t>
      </w:r>
      <w:r w:rsidR="007D2EDF" w:rsidRPr="005A43AC">
        <w:rPr>
          <w:lang w:val="en-GB"/>
        </w:rPr>
        <w:t xml:space="preserve"> Most importantly, the </w:t>
      </w:r>
      <w:r w:rsidR="00EB354B" w:rsidRPr="005A43AC">
        <w:rPr>
          <w:lang w:val="en-GB"/>
        </w:rPr>
        <w:t>Commission encourages</w:t>
      </w:r>
      <w:r w:rsidR="007D2EDF" w:rsidRPr="005A43AC">
        <w:rPr>
          <w:lang w:val="en-GB"/>
        </w:rPr>
        <w:t xml:space="preserve"> sworn statements (affidavits) </w:t>
      </w:r>
      <w:r w:rsidR="00EB354B" w:rsidRPr="005A43AC">
        <w:rPr>
          <w:lang w:val="en-GB"/>
        </w:rPr>
        <w:t xml:space="preserve">made under Oath. </w:t>
      </w:r>
      <w:r w:rsidR="00766ABF">
        <w:rPr>
          <w:lang w:val="en-GB"/>
        </w:rPr>
        <w:lastRenderedPageBreak/>
        <w:t xml:space="preserve">Affidavits are vital </w:t>
      </w:r>
      <w:r w:rsidR="00EB354B" w:rsidRPr="005A43AC">
        <w:rPr>
          <w:lang w:val="en-GB"/>
        </w:rPr>
        <w:t>as they can be used in Court to capture the facts of the complaint</w:t>
      </w:r>
      <w:r w:rsidR="00766ABF">
        <w:rPr>
          <w:lang w:val="en-GB"/>
        </w:rPr>
        <w:t xml:space="preserve">, should </w:t>
      </w:r>
      <w:r w:rsidR="00EB354B" w:rsidRPr="005A43AC">
        <w:rPr>
          <w:lang w:val="en-GB"/>
        </w:rPr>
        <w:t>t</w:t>
      </w:r>
      <w:r w:rsidR="00766ABF">
        <w:rPr>
          <w:lang w:val="en-GB"/>
        </w:rPr>
        <w:t>he case be heard in</w:t>
      </w:r>
      <w:r w:rsidR="00EB354B" w:rsidRPr="005A43AC">
        <w:rPr>
          <w:lang w:val="en-GB"/>
        </w:rPr>
        <w:t xml:space="preserve"> Court. Complainants can appear before the Commission to provide statements under Oath.</w:t>
      </w:r>
    </w:p>
    <w:p w:rsidR="00F21F2B" w:rsidRPr="007E161A" w:rsidRDefault="00F21F2B" w:rsidP="007E1808">
      <w:pPr>
        <w:jc w:val="both"/>
        <w:rPr>
          <w:lang w:val="en-GB"/>
        </w:rPr>
      </w:pPr>
    </w:p>
    <w:p w:rsidR="00EC3B36" w:rsidRPr="007E161A" w:rsidRDefault="002B412B" w:rsidP="00D20068">
      <w:pPr>
        <w:pStyle w:val="Heading2"/>
        <w:rPr>
          <w:rFonts w:asciiTheme="minorHAnsi" w:hAnsiTheme="minorHAnsi"/>
          <w:color w:val="auto"/>
          <w:sz w:val="22"/>
          <w:szCs w:val="22"/>
          <w:lang w:val="en-GB"/>
        </w:rPr>
      </w:pPr>
      <w:r w:rsidRPr="007E161A">
        <w:rPr>
          <w:rFonts w:asciiTheme="minorHAnsi" w:hAnsiTheme="minorHAnsi"/>
          <w:color w:val="auto"/>
          <w:sz w:val="22"/>
          <w:szCs w:val="22"/>
          <w:lang w:val="en-GB"/>
        </w:rPr>
        <w:t>EVIDENCE</w:t>
      </w:r>
    </w:p>
    <w:p w:rsidR="002C1F99" w:rsidRPr="005A43AC" w:rsidRDefault="00EC3B36" w:rsidP="007E1808">
      <w:pPr>
        <w:autoSpaceDE w:val="0"/>
        <w:autoSpaceDN w:val="0"/>
        <w:adjustRightInd w:val="0"/>
        <w:jc w:val="both"/>
        <w:rPr>
          <w:rFonts w:cs="Arial"/>
        </w:rPr>
      </w:pPr>
      <w:r w:rsidRPr="005A43AC">
        <w:rPr>
          <w:rFonts w:cs="Arial"/>
        </w:rPr>
        <w:t xml:space="preserve">Investigations into allegations of anti-competitive behaviour take time and </w:t>
      </w:r>
      <w:r w:rsidR="00F7078E">
        <w:rPr>
          <w:rFonts w:cs="Arial"/>
        </w:rPr>
        <w:t>some</w:t>
      </w:r>
      <w:r w:rsidRPr="005A43AC">
        <w:rPr>
          <w:rFonts w:cs="Arial"/>
        </w:rPr>
        <w:t>times impose significant costs to the Commission</w:t>
      </w:r>
      <w:r w:rsidR="00A34532" w:rsidRPr="005A43AC">
        <w:rPr>
          <w:rFonts w:cs="Arial"/>
        </w:rPr>
        <w:t xml:space="preserve"> as crucial information is not always readily available</w:t>
      </w:r>
      <w:r w:rsidRPr="005A43AC">
        <w:rPr>
          <w:rFonts w:cs="Arial"/>
        </w:rPr>
        <w:t xml:space="preserve">. </w:t>
      </w:r>
      <w:r w:rsidR="00A34532" w:rsidRPr="005A43AC">
        <w:rPr>
          <w:lang w:val="en-GB"/>
        </w:rPr>
        <w:t xml:space="preserve">However, the burden of proof lies with the complainant. </w:t>
      </w:r>
      <w:r w:rsidRPr="005A43AC">
        <w:rPr>
          <w:rFonts w:cs="Arial"/>
        </w:rPr>
        <w:t>A complainant is</w:t>
      </w:r>
      <w:r w:rsidR="00A34532" w:rsidRPr="005A43AC">
        <w:rPr>
          <w:rFonts w:cs="Arial"/>
        </w:rPr>
        <w:t xml:space="preserve"> therefore</w:t>
      </w:r>
      <w:r w:rsidRPr="005A43AC">
        <w:rPr>
          <w:rFonts w:cs="Arial"/>
        </w:rPr>
        <w:t xml:space="preserve"> encouraged to </w:t>
      </w:r>
      <w:r w:rsidR="00244224" w:rsidRPr="005A43AC">
        <w:rPr>
          <w:rFonts w:cs="Arial"/>
        </w:rPr>
        <w:t>provide as much evidence as possibl</w:t>
      </w:r>
      <w:r w:rsidR="00A34532" w:rsidRPr="005A43AC">
        <w:rPr>
          <w:rFonts w:cs="Arial"/>
        </w:rPr>
        <w:t>e to back up the complaint. Doing so</w:t>
      </w:r>
      <w:r w:rsidR="00244224" w:rsidRPr="005A43AC">
        <w:rPr>
          <w:rFonts w:cs="Arial"/>
        </w:rPr>
        <w:t xml:space="preserve"> will enable the Commission from the onset to focus on the concerns </w:t>
      </w:r>
      <w:proofErr w:type="gramStart"/>
      <w:r w:rsidR="00244224" w:rsidRPr="005A43AC">
        <w:rPr>
          <w:rFonts w:cs="Arial"/>
        </w:rPr>
        <w:t>raised</w:t>
      </w:r>
      <w:proofErr w:type="gramEnd"/>
      <w:r w:rsidR="00244224" w:rsidRPr="005A43AC">
        <w:rPr>
          <w:rFonts w:cs="Arial"/>
        </w:rPr>
        <w:t xml:space="preserve"> in the complai</w:t>
      </w:r>
      <w:r w:rsidR="00A34532" w:rsidRPr="005A43AC">
        <w:rPr>
          <w:rFonts w:cs="Arial"/>
        </w:rPr>
        <w:t xml:space="preserve">nt </w:t>
      </w:r>
      <w:r w:rsidR="00244224" w:rsidRPr="005A43AC">
        <w:rPr>
          <w:rFonts w:cs="Arial"/>
        </w:rPr>
        <w:t>and allow it to target its resources on the most important issues</w:t>
      </w:r>
      <w:r w:rsidR="00814807">
        <w:rPr>
          <w:rFonts w:cs="Arial"/>
        </w:rPr>
        <w:t xml:space="preserve"> and speedily conclude its</w:t>
      </w:r>
      <w:r w:rsidR="00A34532" w:rsidRPr="005A43AC">
        <w:rPr>
          <w:rFonts w:cs="Arial"/>
        </w:rPr>
        <w:t xml:space="preserve"> investigation.</w:t>
      </w:r>
    </w:p>
    <w:p w:rsidR="00244224" w:rsidRPr="005A43AC" w:rsidRDefault="00244224" w:rsidP="007E1808">
      <w:pPr>
        <w:autoSpaceDE w:val="0"/>
        <w:autoSpaceDN w:val="0"/>
        <w:adjustRightInd w:val="0"/>
        <w:jc w:val="both"/>
        <w:rPr>
          <w:rFonts w:cs="Arial"/>
          <w:i/>
        </w:rPr>
      </w:pPr>
    </w:p>
    <w:p w:rsidR="00244224" w:rsidRPr="007E161A" w:rsidRDefault="00244224" w:rsidP="00D20068">
      <w:pPr>
        <w:pStyle w:val="Heading2"/>
        <w:rPr>
          <w:rFonts w:asciiTheme="minorHAnsi" w:hAnsiTheme="minorHAnsi"/>
          <w:color w:val="auto"/>
          <w:sz w:val="22"/>
          <w:szCs w:val="22"/>
        </w:rPr>
      </w:pPr>
      <w:r w:rsidRPr="007E161A">
        <w:rPr>
          <w:rFonts w:asciiTheme="minorHAnsi" w:hAnsiTheme="minorHAnsi"/>
          <w:color w:val="auto"/>
          <w:sz w:val="22"/>
          <w:szCs w:val="22"/>
        </w:rPr>
        <w:t>P</w:t>
      </w:r>
      <w:r w:rsidR="002B412B" w:rsidRPr="007E161A">
        <w:rPr>
          <w:rFonts w:asciiTheme="minorHAnsi" w:hAnsiTheme="minorHAnsi"/>
          <w:color w:val="auto"/>
          <w:sz w:val="22"/>
          <w:szCs w:val="22"/>
        </w:rPr>
        <w:t>ROCESS OF DEALING WITH COMPLAINTS</w:t>
      </w:r>
    </w:p>
    <w:p w:rsidR="00F11DDD" w:rsidRPr="007C17F6" w:rsidRDefault="00244224" w:rsidP="007C17F6">
      <w:pPr>
        <w:pStyle w:val="ListParagraph"/>
        <w:numPr>
          <w:ilvl w:val="0"/>
          <w:numId w:val="14"/>
        </w:numPr>
        <w:autoSpaceDE w:val="0"/>
        <w:autoSpaceDN w:val="0"/>
        <w:adjustRightInd w:val="0"/>
        <w:jc w:val="both"/>
        <w:rPr>
          <w:rFonts w:cs="Arial"/>
        </w:rPr>
      </w:pPr>
      <w:r w:rsidRPr="007C17F6">
        <w:rPr>
          <w:rFonts w:cs="Arial"/>
        </w:rPr>
        <w:t xml:space="preserve">Once </w:t>
      </w:r>
      <w:r w:rsidR="00F7078E" w:rsidRPr="007C17F6">
        <w:rPr>
          <w:rFonts w:cs="Arial"/>
        </w:rPr>
        <w:t xml:space="preserve">a complaint is received, </w:t>
      </w:r>
      <w:r w:rsidR="00F11DDD" w:rsidRPr="007C17F6">
        <w:rPr>
          <w:rFonts w:cs="Arial"/>
        </w:rPr>
        <w:t xml:space="preserve">the Commission </w:t>
      </w:r>
      <w:r w:rsidR="00A34532" w:rsidRPr="007C17F6">
        <w:rPr>
          <w:rFonts w:cs="Arial"/>
        </w:rPr>
        <w:t>verif</w:t>
      </w:r>
      <w:r w:rsidR="00F11DDD" w:rsidRPr="007C17F6">
        <w:rPr>
          <w:rFonts w:cs="Arial"/>
        </w:rPr>
        <w:t>ies</w:t>
      </w:r>
      <w:r w:rsidR="00A34532" w:rsidRPr="007C17F6">
        <w:rPr>
          <w:rFonts w:cs="Arial"/>
        </w:rPr>
        <w:t xml:space="preserve"> the</w:t>
      </w:r>
      <w:r w:rsidR="007779CF" w:rsidRPr="007C17F6">
        <w:rPr>
          <w:rFonts w:cs="Arial"/>
        </w:rPr>
        <w:t xml:space="preserve"> information p</w:t>
      </w:r>
      <w:r w:rsidR="007E1808" w:rsidRPr="007C17F6">
        <w:rPr>
          <w:rFonts w:cs="Arial"/>
        </w:rPr>
        <w:t>rovided</w:t>
      </w:r>
      <w:r w:rsidR="00F11DDD" w:rsidRPr="007C17F6">
        <w:rPr>
          <w:rFonts w:cs="Arial"/>
        </w:rPr>
        <w:t xml:space="preserve">. </w:t>
      </w:r>
    </w:p>
    <w:p w:rsidR="00F11DDD" w:rsidRPr="007C17F6" w:rsidRDefault="00F11DDD" w:rsidP="007C17F6">
      <w:pPr>
        <w:pStyle w:val="ListParagraph"/>
        <w:numPr>
          <w:ilvl w:val="0"/>
          <w:numId w:val="14"/>
        </w:numPr>
        <w:autoSpaceDE w:val="0"/>
        <w:autoSpaceDN w:val="0"/>
        <w:adjustRightInd w:val="0"/>
        <w:jc w:val="both"/>
        <w:rPr>
          <w:rFonts w:cs="Arial"/>
        </w:rPr>
      </w:pPr>
      <w:r w:rsidRPr="007C17F6">
        <w:rPr>
          <w:rFonts w:cs="Arial"/>
        </w:rPr>
        <w:t>R</w:t>
      </w:r>
      <w:r w:rsidR="00F7078E" w:rsidRPr="007C17F6">
        <w:rPr>
          <w:rFonts w:cs="Arial"/>
        </w:rPr>
        <w:t>equests</w:t>
      </w:r>
      <w:r w:rsidR="007E1808" w:rsidRPr="007C17F6">
        <w:rPr>
          <w:rFonts w:cs="Arial"/>
        </w:rPr>
        <w:t xml:space="preserve"> </w:t>
      </w:r>
      <w:r w:rsidR="00A34532" w:rsidRPr="007C17F6">
        <w:rPr>
          <w:rFonts w:cs="Arial"/>
        </w:rPr>
        <w:t xml:space="preserve">the complainant to </w:t>
      </w:r>
      <w:r w:rsidR="00F7078E" w:rsidRPr="007C17F6">
        <w:rPr>
          <w:rFonts w:cs="Arial"/>
        </w:rPr>
        <w:t>clarify identified issues</w:t>
      </w:r>
      <w:r w:rsidRPr="007C17F6">
        <w:rPr>
          <w:rFonts w:cs="Arial"/>
        </w:rPr>
        <w:t>, when required</w:t>
      </w:r>
      <w:r w:rsidR="007779CF" w:rsidRPr="007C17F6">
        <w:rPr>
          <w:rFonts w:cs="Arial"/>
        </w:rPr>
        <w:t>.</w:t>
      </w:r>
      <w:r w:rsidR="00882473" w:rsidRPr="007C17F6">
        <w:rPr>
          <w:rFonts w:cs="Arial"/>
        </w:rPr>
        <w:t xml:space="preserve"> </w:t>
      </w:r>
    </w:p>
    <w:p w:rsidR="00F11DDD" w:rsidRPr="007C17F6" w:rsidRDefault="00F11DDD" w:rsidP="007C17F6">
      <w:pPr>
        <w:pStyle w:val="ListParagraph"/>
        <w:numPr>
          <w:ilvl w:val="0"/>
          <w:numId w:val="14"/>
        </w:numPr>
        <w:autoSpaceDE w:val="0"/>
        <w:autoSpaceDN w:val="0"/>
        <w:adjustRightInd w:val="0"/>
        <w:jc w:val="both"/>
        <w:rPr>
          <w:rFonts w:cs="Arial"/>
        </w:rPr>
      </w:pPr>
      <w:r w:rsidRPr="007C17F6">
        <w:rPr>
          <w:rFonts w:cs="Arial"/>
        </w:rPr>
        <w:t xml:space="preserve">Gathers </w:t>
      </w:r>
      <w:r w:rsidR="00A34532" w:rsidRPr="007C17F6">
        <w:rPr>
          <w:rFonts w:cs="Arial"/>
        </w:rPr>
        <w:t>information gathering and</w:t>
      </w:r>
      <w:r w:rsidR="00882473" w:rsidRPr="007C17F6">
        <w:rPr>
          <w:rFonts w:cs="Arial"/>
        </w:rPr>
        <w:t xml:space="preserve"> </w:t>
      </w:r>
      <w:r w:rsidRPr="007C17F6">
        <w:rPr>
          <w:rFonts w:cs="Arial"/>
        </w:rPr>
        <w:t xml:space="preserve">conduct </w:t>
      </w:r>
      <w:r w:rsidR="00882473" w:rsidRPr="007C17F6">
        <w:rPr>
          <w:rFonts w:cs="Arial"/>
        </w:rPr>
        <w:t>consultation</w:t>
      </w:r>
      <w:r w:rsidR="00A34532" w:rsidRPr="007C17F6">
        <w:rPr>
          <w:rFonts w:cs="Arial"/>
        </w:rPr>
        <w:t>s</w:t>
      </w:r>
      <w:r w:rsidRPr="007C17F6">
        <w:rPr>
          <w:rFonts w:cs="Arial"/>
        </w:rPr>
        <w:t xml:space="preserve"> with relevant parties.</w:t>
      </w:r>
    </w:p>
    <w:p w:rsidR="007C17F6" w:rsidRDefault="007C17F6" w:rsidP="007C17F6">
      <w:pPr>
        <w:pStyle w:val="ListParagraph"/>
        <w:numPr>
          <w:ilvl w:val="0"/>
          <w:numId w:val="14"/>
        </w:numPr>
        <w:autoSpaceDE w:val="0"/>
        <w:autoSpaceDN w:val="0"/>
        <w:adjustRightInd w:val="0"/>
        <w:jc w:val="both"/>
        <w:rPr>
          <w:rFonts w:cs="Arial"/>
        </w:rPr>
      </w:pPr>
      <w:r w:rsidRPr="007C17F6">
        <w:rPr>
          <w:rFonts w:cs="Arial"/>
        </w:rPr>
        <w:t>A</w:t>
      </w:r>
      <w:r w:rsidR="00882473" w:rsidRPr="007C17F6">
        <w:rPr>
          <w:rFonts w:cs="Arial"/>
        </w:rPr>
        <w:t xml:space="preserve"> decision will</w:t>
      </w:r>
      <w:r w:rsidR="00A34532" w:rsidRPr="007C17F6">
        <w:rPr>
          <w:rFonts w:cs="Arial"/>
        </w:rPr>
        <w:t xml:space="preserve"> then</w:t>
      </w:r>
      <w:r w:rsidR="00882473" w:rsidRPr="007C17F6">
        <w:rPr>
          <w:rFonts w:cs="Arial"/>
        </w:rPr>
        <w:t xml:space="preserve"> be made whether</w:t>
      </w:r>
      <w:r w:rsidR="00A34532" w:rsidRPr="007C17F6">
        <w:rPr>
          <w:rFonts w:cs="Arial"/>
        </w:rPr>
        <w:t xml:space="preserve"> or not</w:t>
      </w:r>
      <w:r w:rsidR="00882473" w:rsidRPr="007C17F6">
        <w:rPr>
          <w:rFonts w:cs="Arial"/>
        </w:rPr>
        <w:t xml:space="preserve"> to investigate.</w:t>
      </w:r>
      <w:r w:rsidR="009C15B4" w:rsidRPr="007C17F6">
        <w:rPr>
          <w:rFonts w:cs="Arial"/>
        </w:rPr>
        <w:t xml:space="preserve"> </w:t>
      </w:r>
    </w:p>
    <w:p w:rsidR="00FF4AD0" w:rsidRPr="007C17F6" w:rsidRDefault="00FF4AD0" w:rsidP="007C17F6">
      <w:pPr>
        <w:pStyle w:val="ListParagraph"/>
        <w:numPr>
          <w:ilvl w:val="0"/>
          <w:numId w:val="14"/>
        </w:numPr>
        <w:autoSpaceDE w:val="0"/>
        <w:autoSpaceDN w:val="0"/>
        <w:adjustRightInd w:val="0"/>
        <w:jc w:val="both"/>
        <w:rPr>
          <w:rFonts w:cs="Arial"/>
        </w:rPr>
      </w:pPr>
      <w:r>
        <w:rPr>
          <w:rFonts w:cs="Arial"/>
        </w:rPr>
        <w:t xml:space="preserve">When the Commission decides to conduct an investigation, it must give notice of the proposed investigation to every undertaking </w:t>
      </w:r>
      <w:r w:rsidR="001A1F0C">
        <w:rPr>
          <w:rFonts w:cs="Arial"/>
        </w:rPr>
        <w:t>the conduct of which</w:t>
      </w:r>
      <w:r>
        <w:rPr>
          <w:rFonts w:cs="Arial"/>
        </w:rPr>
        <w:t xml:space="preserve"> is to be investigated.</w:t>
      </w:r>
    </w:p>
    <w:p w:rsidR="00244224" w:rsidRPr="007C17F6" w:rsidRDefault="007779CF" w:rsidP="007C17F6">
      <w:pPr>
        <w:pStyle w:val="ListParagraph"/>
        <w:numPr>
          <w:ilvl w:val="0"/>
          <w:numId w:val="14"/>
        </w:numPr>
        <w:autoSpaceDE w:val="0"/>
        <w:autoSpaceDN w:val="0"/>
        <w:adjustRightInd w:val="0"/>
        <w:jc w:val="both"/>
        <w:rPr>
          <w:rFonts w:cs="Arial"/>
        </w:rPr>
      </w:pPr>
      <w:r w:rsidRPr="007C17F6">
        <w:rPr>
          <w:rFonts w:cs="Arial"/>
        </w:rPr>
        <w:t>The Commission normally restricts the scope of its investigation to the complainant’s original submission. However, where the Commission uncovers indications of other anti-competitive behaviours that raise additional concerns, it</w:t>
      </w:r>
      <w:r w:rsidR="006109CA" w:rsidRPr="007C17F6">
        <w:rPr>
          <w:rFonts w:cs="Arial"/>
        </w:rPr>
        <w:t xml:space="preserve"> can initiate its own complaint</w:t>
      </w:r>
      <w:r w:rsidR="00890229" w:rsidRPr="007C17F6">
        <w:rPr>
          <w:rFonts w:cs="Arial"/>
        </w:rPr>
        <w:t xml:space="preserve"> in that respect</w:t>
      </w:r>
      <w:r w:rsidRPr="007C17F6">
        <w:rPr>
          <w:rFonts w:cs="Arial"/>
        </w:rPr>
        <w:t>.</w:t>
      </w:r>
    </w:p>
    <w:p w:rsidR="005A43AC" w:rsidRDefault="005A43AC" w:rsidP="00D20068">
      <w:pPr>
        <w:pStyle w:val="Heading2"/>
        <w:rPr>
          <w:rFonts w:asciiTheme="minorHAnsi" w:hAnsiTheme="minorHAnsi"/>
          <w:color w:val="auto"/>
          <w:sz w:val="22"/>
          <w:szCs w:val="22"/>
        </w:rPr>
      </w:pPr>
    </w:p>
    <w:p w:rsidR="00244224" w:rsidRPr="007E161A" w:rsidRDefault="002B412B" w:rsidP="00D20068">
      <w:pPr>
        <w:pStyle w:val="Heading2"/>
        <w:rPr>
          <w:rFonts w:asciiTheme="minorHAnsi" w:hAnsiTheme="minorHAnsi"/>
          <w:color w:val="auto"/>
          <w:sz w:val="22"/>
          <w:szCs w:val="22"/>
        </w:rPr>
      </w:pPr>
      <w:r w:rsidRPr="007E161A">
        <w:rPr>
          <w:rFonts w:asciiTheme="minorHAnsi" w:hAnsiTheme="minorHAnsi"/>
          <w:color w:val="auto"/>
          <w:sz w:val="22"/>
          <w:szCs w:val="22"/>
        </w:rPr>
        <w:t>TIME</w:t>
      </w:r>
      <w:r w:rsidR="00F7078E" w:rsidRPr="007E161A">
        <w:rPr>
          <w:rFonts w:asciiTheme="minorHAnsi" w:hAnsiTheme="minorHAnsi"/>
          <w:color w:val="auto"/>
          <w:sz w:val="22"/>
          <w:szCs w:val="22"/>
        </w:rPr>
        <w:t>LINES</w:t>
      </w:r>
      <w:r w:rsidRPr="007E161A">
        <w:rPr>
          <w:rFonts w:asciiTheme="minorHAnsi" w:hAnsiTheme="minorHAnsi"/>
          <w:color w:val="auto"/>
          <w:sz w:val="22"/>
          <w:szCs w:val="22"/>
        </w:rPr>
        <w:t xml:space="preserve"> FOR DEALING WITH COMPLAINTS</w:t>
      </w:r>
    </w:p>
    <w:p w:rsidR="00244224" w:rsidRPr="005A43AC" w:rsidRDefault="00244224" w:rsidP="007E1808">
      <w:pPr>
        <w:autoSpaceDE w:val="0"/>
        <w:autoSpaceDN w:val="0"/>
        <w:adjustRightInd w:val="0"/>
        <w:jc w:val="both"/>
        <w:rPr>
          <w:rFonts w:cs="Arial"/>
        </w:rPr>
      </w:pPr>
      <w:r w:rsidRPr="005A43AC">
        <w:rPr>
          <w:rFonts w:cs="Arial"/>
        </w:rPr>
        <w:t>There are no specified time</w:t>
      </w:r>
      <w:r w:rsidR="00F7078E">
        <w:rPr>
          <w:rFonts w:cs="Arial"/>
        </w:rPr>
        <w:t>lines</w:t>
      </w:r>
      <w:r w:rsidRPr="005A43AC">
        <w:rPr>
          <w:rFonts w:cs="Arial"/>
        </w:rPr>
        <w:t xml:space="preserve"> for dealing with complaints</w:t>
      </w:r>
      <w:r w:rsidR="00A75335">
        <w:rPr>
          <w:rFonts w:cs="Arial"/>
        </w:rPr>
        <w:t>. H</w:t>
      </w:r>
      <w:r w:rsidRPr="005A43AC">
        <w:rPr>
          <w:rFonts w:cs="Arial"/>
        </w:rPr>
        <w:t>owever, once the Commission has accepted a complaint</w:t>
      </w:r>
      <w:r w:rsidR="00A75335">
        <w:rPr>
          <w:rFonts w:cs="Arial"/>
        </w:rPr>
        <w:t xml:space="preserve"> and decides to conduct an investigation,</w:t>
      </w:r>
      <w:r w:rsidR="00E822DC">
        <w:rPr>
          <w:rFonts w:cs="Arial"/>
        </w:rPr>
        <w:t xml:space="preserve"> it does its utmost to </w:t>
      </w:r>
      <w:r w:rsidRPr="005A43AC">
        <w:rPr>
          <w:rFonts w:cs="Arial"/>
        </w:rPr>
        <w:t xml:space="preserve">investigate the issues raised </w:t>
      </w:r>
      <w:r w:rsidR="00E822DC">
        <w:rPr>
          <w:rFonts w:cs="Arial"/>
        </w:rPr>
        <w:t>within a reasonable time,</w:t>
      </w:r>
      <w:r w:rsidRPr="005A43AC">
        <w:rPr>
          <w:rFonts w:cs="Arial"/>
        </w:rPr>
        <w:t xml:space="preserve"> depending on information provided</w:t>
      </w:r>
      <w:r w:rsidR="00591FDF" w:rsidRPr="005A43AC">
        <w:rPr>
          <w:rFonts w:cs="Arial"/>
        </w:rPr>
        <w:t xml:space="preserve"> and the nature and complexity of the issues to be investigated</w:t>
      </w:r>
      <w:r w:rsidRPr="005A43AC">
        <w:rPr>
          <w:rFonts w:cs="Arial"/>
        </w:rPr>
        <w:t>.</w:t>
      </w:r>
    </w:p>
    <w:p w:rsidR="002B412B" w:rsidRPr="005A43AC" w:rsidRDefault="002B412B" w:rsidP="007E1808">
      <w:pPr>
        <w:autoSpaceDE w:val="0"/>
        <w:autoSpaceDN w:val="0"/>
        <w:adjustRightInd w:val="0"/>
        <w:jc w:val="both"/>
        <w:rPr>
          <w:rFonts w:cs="Arial"/>
        </w:rPr>
      </w:pPr>
    </w:p>
    <w:p w:rsidR="007E1808" w:rsidRPr="007E161A" w:rsidRDefault="007E1808" w:rsidP="00D20068">
      <w:pPr>
        <w:pStyle w:val="Heading1"/>
        <w:rPr>
          <w:rFonts w:asciiTheme="minorHAnsi" w:hAnsiTheme="minorHAnsi"/>
          <w:color w:val="auto"/>
          <w:sz w:val="22"/>
          <w:szCs w:val="22"/>
        </w:rPr>
      </w:pPr>
      <w:r w:rsidRPr="007E161A">
        <w:rPr>
          <w:rFonts w:asciiTheme="minorHAnsi" w:hAnsiTheme="minorHAnsi"/>
          <w:color w:val="auto"/>
          <w:sz w:val="22"/>
          <w:szCs w:val="22"/>
        </w:rPr>
        <w:t>C</w:t>
      </w:r>
      <w:r w:rsidR="002B412B" w:rsidRPr="007E161A">
        <w:rPr>
          <w:rFonts w:asciiTheme="minorHAnsi" w:hAnsiTheme="minorHAnsi"/>
          <w:color w:val="auto"/>
          <w:sz w:val="22"/>
          <w:szCs w:val="22"/>
        </w:rPr>
        <w:t>ONCLUSION</w:t>
      </w:r>
    </w:p>
    <w:p w:rsidR="00A44EED" w:rsidRPr="00620DD8" w:rsidRDefault="00D12C2A" w:rsidP="009708B2">
      <w:pPr>
        <w:autoSpaceDE w:val="0"/>
        <w:autoSpaceDN w:val="0"/>
        <w:adjustRightInd w:val="0"/>
        <w:jc w:val="both"/>
        <w:rPr>
          <w:lang w:val="en-GB"/>
        </w:rPr>
      </w:pPr>
      <w:r w:rsidRPr="005A43AC">
        <w:rPr>
          <w:lang w:val="en-GB"/>
        </w:rPr>
        <w:t>The Commission refers those who wish to file complaints to Section</w:t>
      </w:r>
      <w:r w:rsidR="00F7078E">
        <w:rPr>
          <w:lang w:val="en-GB"/>
        </w:rPr>
        <w:t>s</w:t>
      </w:r>
      <w:r w:rsidR="00C55827" w:rsidRPr="005A43AC">
        <w:rPr>
          <w:lang w:val="en-GB"/>
        </w:rPr>
        <w:t xml:space="preserve"> 2, 3, 23, 25, 26 and 33</w:t>
      </w:r>
      <w:r w:rsidR="009A6679" w:rsidRPr="005A43AC">
        <w:rPr>
          <w:lang w:val="en-GB"/>
        </w:rPr>
        <w:t xml:space="preserve"> of the </w:t>
      </w:r>
      <w:r w:rsidR="009A6679" w:rsidRPr="005A43AC">
        <w:rPr>
          <w:i/>
          <w:lang w:val="en-GB"/>
        </w:rPr>
        <w:t>Act</w:t>
      </w:r>
      <w:r w:rsidR="00C55827" w:rsidRPr="005A43AC">
        <w:rPr>
          <w:lang w:val="en-GB"/>
        </w:rPr>
        <w:t xml:space="preserve">, as well as Rules 13 and 15 of the </w:t>
      </w:r>
      <w:r w:rsidR="00C55827" w:rsidRPr="005A43AC">
        <w:rPr>
          <w:i/>
          <w:lang w:val="en-GB"/>
        </w:rPr>
        <w:t>Rule</w:t>
      </w:r>
      <w:r w:rsidR="009A6679" w:rsidRPr="005A43AC">
        <w:rPr>
          <w:i/>
          <w:lang w:val="en-GB"/>
        </w:rPr>
        <w:t>s</w:t>
      </w:r>
      <w:r w:rsidR="009A6679" w:rsidRPr="005A43AC">
        <w:rPr>
          <w:lang w:val="en-GB"/>
        </w:rPr>
        <w:t>.</w:t>
      </w:r>
      <w:r w:rsidR="00C55827" w:rsidRPr="005A43AC">
        <w:rPr>
          <w:lang w:val="en-GB"/>
        </w:rPr>
        <w:t xml:space="preserve"> A complaint should be made on Form 2 and where the complain</w:t>
      </w:r>
      <w:r w:rsidR="00F7078E">
        <w:rPr>
          <w:lang w:val="en-GB"/>
        </w:rPr>
        <w:t>an</w:t>
      </w:r>
      <w:r w:rsidR="00C55827" w:rsidRPr="005A43AC">
        <w:rPr>
          <w:lang w:val="en-GB"/>
        </w:rPr>
        <w:t>t deems certain i</w:t>
      </w:r>
      <w:r w:rsidR="00AE0261" w:rsidRPr="005A43AC">
        <w:rPr>
          <w:lang w:val="en-GB"/>
        </w:rPr>
        <w:t xml:space="preserve">nformation </w:t>
      </w:r>
      <w:proofErr w:type="gramStart"/>
      <w:r w:rsidR="00FF4AD0">
        <w:rPr>
          <w:lang w:val="en-GB"/>
        </w:rPr>
        <w:t>confidential,</w:t>
      </w:r>
      <w:proofErr w:type="gramEnd"/>
      <w:r w:rsidR="00AE0261" w:rsidRPr="005A43AC">
        <w:rPr>
          <w:lang w:val="en-GB"/>
        </w:rPr>
        <w:t xml:space="preserve"> he</w:t>
      </w:r>
      <w:r w:rsidR="00F7078E">
        <w:rPr>
          <w:lang w:val="en-GB"/>
        </w:rPr>
        <w:t>/she</w:t>
      </w:r>
      <w:r w:rsidR="00620DD8" w:rsidRPr="005A43AC">
        <w:rPr>
          <w:lang w:val="en-GB"/>
        </w:rPr>
        <w:t xml:space="preserve"> must complete Form 1</w:t>
      </w:r>
      <w:r w:rsidR="00C55827" w:rsidRPr="005A43AC">
        <w:rPr>
          <w:lang w:val="en-GB"/>
        </w:rPr>
        <w:t>.</w:t>
      </w:r>
      <w:r w:rsidR="00620DD8" w:rsidRPr="005A43AC">
        <w:rPr>
          <w:lang w:val="en-GB"/>
        </w:rPr>
        <w:t xml:space="preserve"> Following these guidelines when filing a complaint, </w:t>
      </w:r>
      <w:r w:rsidR="00620DD8" w:rsidRPr="005A43AC">
        <w:t>will</w:t>
      </w:r>
      <w:r w:rsidR="009A6679" w:rsidRPr="005A43AC">
        <w:t xml:space="preserve"> </w:t>
      </w:r>
      <w:r w:rsidR="00620DD8" w:rsidRPr="005A43AC">
        <w:t>save the Commission time and resources when dealing with complaints</w:t>
      </w:r>
      <w:r w:rsidR="009708B2">
        <w:t>.</w:t>
      </w:r>
    </w:p>
    <w:sectPr w:rsidR="00A44EED" w:rsidRPr="00620DD8" w:rsidSect="00927F03">
      <w:type w:val="continuous"/>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5335" w:rsidRDefault="00A75335" w:rsidP="007E161A">
      <w:pPr>
        <w:spacing w:after="0" w:line="240" w:lineRule="auto"/>
      </w:pPr>
      <w:r>
        <w:separator/>
      </w:r>
    </w:p>
  </w:endnote>
  <w:endnote w:type="continuationSeparator" w:id="0">
    <w:p w:rsidR="00A75335" w:rsidRDefault="00A75335" w:rsidP="007E16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5696460"/>
      <w:docPartObj>
        <w:docPartGallery w:val="Page Numbers (Bottom of Page)"/>
        <w:docPartUnique/>
      </w:docPartObj>
    </w:sdtPr>
    <w:sdtContent>
      <w:p w:rsidR="00A75335" w:rsidRDefault="00A75335">
        <w:pPr>
          <w:pStyle w:val="Footer"/>
          <w:jc w:val="right"/>
        </w:pPr>
        <w:fldSimple w:instr=" PAGE   \* MERGEFORMAT ">
          <w:r w:rsidR="00E822DC">
            <w:rPr>
              <w:noProof/>
            </w:rPr>
            <w:t>3</w:t>
          </w:r>
        </w:fldSimple>
      </w:p>
    </w:sdtContent>
  </w:sdt>
  <w:p w:rsidR="00A75335" w:rsidRDefault="00A7533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5335" w:rsidRDefault="00A75335" w:rsidP="007E161A">
      <w:pPr>
        <w:spacing w:after="0" w:line="240" w:lineRule="auto"/>
      </w:pPr>
      <w:r>
        <w:separator/>
      </w:r>
    </w:p>
  </w:footnote>
  <w:footnote w:type="continuationSeparator" w:id="0">
    <w:p w:rsidR="00A75335" w:rsidRDefault="00A75335" w:rsidP="007E161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67FFB"/>
    <w:multiLevelType w:val="hybridMultilevel"/>
    <w:tmpl w:val="0D06E46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9A3686D"/>
    <w:multiLevelType w:val="multilevel"/>
    <w:tmpl w:val="901E70CC"/>
    <w:lvl w:ilvl="0">
      <w:start w:val="2"/>
      <w:numFmt w:val="decimal"/>
      <w:lvlText w:val="%1."/>
      <w:lvlJc w:val="left"/>
      <w:pPr>
        <w:ind w:left="108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1BE0246E"/>
    <w:multiLevelType w:val="multilevel"/>
    <w:tmpl w:val="F8383FD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42F467A"/>
    <w:multiLevelType w:val="hybridMultilevel"/>
    <w:tmpl w:val="031CA38A"/>
    <w:lvl w:ilvl="0" w:tplc="1C090001">
      <w:start w:val="1"/>
      <w:numFmt w:val="bullet"/>
      <w:lvlText w:val=""/>
      <w:lvlJc w:val="left"/>
      <w:pPr>
        <w:ind w:left="144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4">
    <w:nsid w:val="2ABF0CAA"/>
    <w:multiLevelType w:val="hybridMultilevel"/>
    <w:tmpl w:val="3B26A042"/>
    <w:lvl w:ilvl="0" w:tplc="833AD3EA">
      <w:numFmt w:val="bullet"/>
      <w:lvlText w:val=""/>
      <w:lvlJc w:val="left"/>
      <w:pPr>
        <w:ind w:left="720" w:hanging="360"/>
      </w:pPr>
      <w:rPr>
        <w:rFonts w:ascii="Wingdings" w:eastAsia="Calibri" w:hAnsi="Wingdings" w:cs="Times New Roman"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5">
    <w:nsid w:val="4C3009E9"/>
    <w:multiLevelType w:val="hybridMultilevel"/>
    <w:tmpl w:val="DDD4AD02"/>
    <w:lvl w:ilvl="0" w:tplc="CF6AD294">
      <w:start w:val="2"/>
      <w:numFmt w:val="decimal"/>
      <w:lvlText w:val="%1."/>
      <w:lvlJc w:val="left"/>
      <w:pPr>
        <w:ind w:left="108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579C3AD9"/>
    <w:multiLevelType w:val="multilevel"/>
    <w:tmpl w:val="901E70CC"/>
    <w:lvl w:ilvl="0">
      <w:start w:val="2"/>
      <w:numFmt w:val="decimal"/>
      <w:lvlText w:val="%1."/>
      <w:lvlJc w:val="left"/>
      <w:pPr>
        <w:ind w:left="108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nsid w:val="5B103707"/>
    <w:multiLevelType w:val="hybridMultilevel"/>
    <w:tmpl w:val="BBA661FC"/>
    <w:lvl w:ilvl="0" w:tplc="9878D226">
      <w:start w:val="1"/>
      <w:numFmt w:val="bullet"/>
      <w:lvlText w:val=""/>
      <w:lvlJc w:val="left"/>
      <w:pPr>
        <w:ind w:left="720" w:hanging="360"/>
      </w:pPr>
      <w:rPr>
        <w:rFonts w:ascii="Symbol" w:eastAsiaTheme="minorHAnsi" w:hAnsi="Symbol"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6584533B"/>
    <w:multiLevelType w:val="multilevel"/>
    <w:tmpl w:val="8DD485B6"/>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6B915CB3"/>
    <w:multiLevelType w:val="hybridMultilevel"/>
    <w:tmpl w:val="0780F96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73B41A62"/>
    <w:multiLevelType w:val="multilevel"/>
    <w:tmpl w:val="F8383FD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7BFF4343"/>
    <w:multiLevelType w:val="hybridMultilevel"/>
    <w:tmpl w:val="CCD46E70"/>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7"/>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1"/>
  </w:num>
  <w:num w:numId="8">
    <w:abstractNumId w:val="5"/>
  </w:num>
  <w:num w:numId="9">
    <w:abstractNumId w:val="8"/>
  </w:num>
  <w:num w:numId="10">
    <w:abstractNumId w:val="6"/>
  </w:num>
  <w:num w:numId="11">
    <w:abstractNumId w:val="2"/>
  </w:num>
  <w:num w:numId="12">
    <w:abstractNumId w:val="10"/>
  </w:num>
  <w:num w:numId="13">
    <w:abstractNumId w:val="11"/>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942E5"/>
    <w:rsid w:val="00015CCC"/>
    <w:rsid w:val="00035F3F"/>
    <w:rsid w:val="00062273"/>
    <w:rsid w:val="0006521E"/>
    <w:rsid w:val="000924C0"/>
    <w:rsid w:val="000D4984"/>
    <w:rsid w:val="000D6F6F"/>
    <w:rsid w:val="00133F1B"/>
    <w:rsid w:val="00135F6A"/>
    <w:rsid w:val="001A1F0C"/>
    <w:rsid w:val="00203DB8"/>
    <w:rsid w:val="00216108"/>
    <w:rsid w:val="00244224"/>
    <w:rsid w:val="002A2914"/>
    <w:rsid w:val="002B412B"/>
    <w:rsid w:val="002C1F99"/>
    <w:rsid w:val="002E0CD1"/>
    <w:rsid w:val="003214F8"/>
    <w:rsid w:val="00341BBD"/>
    <w:rsid w:val="00344B70"/>
    <w:rsid w:val="003538D8"/>
    <w:rsid w:val="003F53B5"/>
    <w:rsid w:val="003F7F88"/>
    <w:rsid w:val="00426476"/>
    <w:rsid w:val="00434019"/>
    <w:rsid w:val="00457AFD"/>
    <w:rsid w:val="004B1569"/>
    <w:rsid w:val="004B4048"/>
    <w:rsid w:val="004E0901"/>
    <w:rsid w:val="004F0A0C"/>
    <w:rsid w:val="004F3DD1"/>
    <w:rsid w:val="00591FDF"/>
    <w:rsid w:val="005942E5"/>
    <w:rsid w:val="005A43AC"/>
    <w:rsid w:val="005C137B"/>
    <w:rsid w:val="005D7238"/>
    <w:rsid w:val="005E773B"/>
    <w:rsid w:val="006109CA"/>
    <w:rsid w:val="00620DD8"/>
    <w:rsid w:val="006337AA"/>
    <w:rsid w:val="0064075B"/>
    <w:rsid w:val="006608F6"/>
    <w:rsid w:val="006619AE"/>
    <w:rsid w:val="00672824"/>
    <w:rsid w:val="006C0BC6"/>
    <w:rsid w:val="006E52D9"/>
    <w:rsid w:val="00761623"/>
    <w:rsid w:val="00766ABF"/>
    <w:rsid w:val="007779CF"/>
    <w:rsid w:val="007C17F6"/>
    <w:rsid w:val="007D2EDF"/>
    <w:rsid w:val="007E161A"/>
    <w:rsid w:val="007E1808"/>
    <w:rsid w:val="007F3C46"/>
    <w:rsid w:val="00814807"/>
    <w:rsid w:val="00825989"/>
    <w:rsid w:val="008762D8"/>
    <w:rsid w:val="00882473"/>
    <w:rsid w:val="008845C2"/>
    <w:rsid w:val="00890229"/>
    <w:rsid w:val="008F295E"/>
    <w:rsid w:val="00927F03"/>
    <w:rsid w:val="009708B2"/>
    <w:rsid w:val="009A6679"/>
    <w:rsid w:val="009C15B4"/>
    <w:rsid w:val="00A10632"/>
    <w:rsid w:val="00A34532"/>
    <w:rsid w:val="00A44115"/>
    <w:rsid w:val="00A44EED"/>
    <w:rsid w:val="00A60657"/>
    <w:rsid w:val="00A75335"/>
    <w:rsid w:val="00AE0261"/>
    <w:rsid w:val="00B545C6"/>
    <w:rsid w:val="00B819CC"/>
    <w:rsid w:val="00BB1176"/>
    <w:rsid w:val="00BB7439"/>
    <w:rsid w:val="00BE75C9"/>
    <w:rsid w:val="00C55827"/>
    <w:rsid w:val="00C82603"/>
    <w:rsid w:val="00D12C2A"/>
    <w:rsid w:val="00D20068"/>
    <w:rsid w:val="00D61648"/>
    <w:rsid w:val="00D77A6D"/>
    <w:rsid w:val="00D91057"/>
    <w:rsid w:val="00DB1775"/>
    <w:rsid w:val="00DE2FB9"/>
    <w:rsid w:val="00DF300A"/>
    <w:rsid w:val="00DF4730"/>
    <w:rsid w:val="00E156CE"/>
    <w:rsid w:val="00E2067B"/>
    <w:rsid w:val="00E66341"/>
    <w:rsid w:val="00E822DC"/>
    <w:rsid w:val="00EB354B"/>
    <w:rsid w:val="00EC3B36"/>
    <w:rsid w:val="00F11DDD"/>
    <w:rsid w:val="00F21F2B"/>
    <w:rsid w:val="00F379BC"/>
    <w:rsid w:val="00F7078E"/>
    <w:rsid w:val="00F75616"/>
    <w:rsid w:val="00FB6DF4"/>
    <w:rsid w:val="00FF4AD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00A"/>
  </w:style>
  <w:style w:type="paragraph" w:styleId="Heading1">
    <w:name w:val="heading 1"/>
    <w:basedOn w:val="Normal"/>
    <w:next w:val="Normal"/>
    <w:link w:val="Heading1Char"/>
    <w:uiPriority w:val="9"/>
    <w:qFormat/>
    <w:rsid w:val="00D200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2006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2006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A2914"/>
    <w:rPr>
      <w:color w:val="0000FF"/>
      <w:u w:val="single"/>
    </w:rPr>
  </w:style>
  <w:style w:type="paragraph" w:styleId="ListParagraph">
    <w:name w:val="List Paragraph"/>
    <w:basedOn w:val="Normal"/>
    <w:uiPriority w:val="34"/>
    <w:qFormat/>
    <w:rsid w:val="00F21F2B"/>
    <w:pPr>
      <w:ind w:left="720"/>
      <w:contextualSpacing/>
    </w:pPr>
  </w:style>
  <w:style w:type="paragraph" w:customStyle="1" w:styleId="Pa7">
    <w:name w:val="Pa7"/>
    <w:basedOn w:val="Normal"/>
    <w:uiPriority w:val="99"/>
    <w:rsid w:val="00426476"/>
    <w:pPr>
      <w:autoSpaceDE w:val="0"/>
      <w:autoSpaceDN w:val="0"/>
      <w:spacing w:after="0" w:line="241" w:lineRule="atLeast"/>
    </w:pPr>
    <w:rPr>
      <w:rFonts w:ascii="Times" w:eastAsia="Calibri" w:hAnsi="Times" w:cs="Times"/>
      <w:sz w:val="24"/>
      <w:szCs w:val="24"/>
      <w:lang w:eastAsia="en-ZA"/>
    </w:rPr>
  </w:style>
  <w:style w:type="character" w:customStyle="1" w:styleId="A2">
    <w:name w:val="A2"/>
    <w:basedOn w:val="DefaultParagraphFont"/>
    <w:uiPriority w:val="99"/>
    <w:rsid w:val="00426476"/>
    <w:rPr>
      <w:color w:val="000000"/>
    </w:rPr>
  </w:style>
  <w:style w:type="character" w:customStyle="1" w:styleId="Heading1Char">
    <w:name w:val="Heading 1 Char"/>
    <w:basedOn w:val="DefaultParagraphFont"/>
    <w:link w:val="Heading1"/>
    <w:uiPriority w:val="9"/>
    <w:rsid w:val="00D2006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2006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20068"/>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5E773B"/>
    <w:rPr>
      <w:sz w:val="16"/>
      <w:szCs w:val="16"/>
    </w:rPr>
  </w:style>
  <w:style w:type="paragraph" w:styleId="CommentText">
    <w:name w:val="annotation text"/>
    <w:basedOn w:val="Normal"/>
    <w:link w:val="CommentTextChar"/>
    <w:uiPriority w:val="99"/>
    <w:semiHidden/>
    <w:unhideWhenUsed/>
    <w:rsid w:val="005E773B"/>
    <w:pPr>
      <w:spacing w:line="240" w:lineRule="auto"/>
    </w:pPr>
    <w:rPr>
      <w:sz w:val="20"/>
      <w:szCs w:val="20"/>
    </w:rPr>
  </w:style>
  <w:style w:type="character" w:customStyle="1" w:styleId="CommentTextChar">
    <w:name w:val="Comment Text Char"/>
    <w:basedOn w:val="DefaultParagraphFont"/>
    <w:link w:val="CommentText"/>
    <w:uiPriority w:val="99"/>
    <w:semiHidden/>
    <w:rsid w:val="005E773B"/>
    <w:rPr>
      <w:sz w:val="20"/>
      <w:szCs w:val="20"/>
    </w:rPr>
  </w:style>
  <w:style w:type="paragraph" w:styleId="CommentSubject">
    <w:name w:val="annotation subject"/>
    <w:basedOn w:val="CommentText"/>
    <w:next w:val="CommentText"/>
    <w:link w:val="CommentSubjectChar"/>
    <w:uiPriority w:val="99"/>
    <w:semiHidden/>
    <w:unhideWhenUsed/>
    <w:rsid w:val="005E773B"/>
    <w:rPr>
      <w:b/>
      <w:bCs/>
    </w:rPr>
  </w:style>
  <w:style w:type="character" w:customStyle="1" w:styleId="CommentSubjectChar">
    <w:name w:val="Comment Subject Char"/>
    <w:basedOn w:val="CommentTextChar"/>
    <w:link w:val="CommentSubject"/>
    <w:uiPriority w:val="99"/>
    <w:semiHidden/>
    <w:rsid w:val="005E773B"/>
    <w:rPr>
      <w:b/>
      <w:bCs/>
    </w:rPr>
  </w:style>
  <w:style w:type="paragraph" w:styleId="BalloonText">
    <w:name w:val="Balloon Text"/>
    <w:basedOn w:val="Normal"/>
    <w:link w:val="BalloonTextChar"/>
    <w:uiPriority w:val="99"/>
    <w:semiHidden/>
    <w:unhideWhenUsed/>
    <w:rsid w:val="005E77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73B"/>
    <w:rPr>
      <w:rFonts w:ascii="Tahoma" w:hAnsi="Tahoma" w:cs="Tahoma"/>
      <w:sz w:val="16"/>
      <w:szCs w:val="16"/>
    </w:rPr>
  </w:style>
  <w:style w:type="paragraph" w:styleId="Header">
    <w:name w:val="header"/>
    <w:basedOn w:val="Normal"/>
    <w:link w:val="HeaderChar"/>
    <w:uiPriority w:val="99"/>
    <w:semiHidden/>
    <w:unhideWhenUsed/>
    <w:rsid w:val="007E161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E161A"/>
  </w:style>
  <w:style w:type="paragraph" w:styleId="Footer">
    <w:name w:val="footer"/>
    <w:basedOn w:val="Normal"/>
    <w:link w:val="FooterChar"/>
    <w:uiPriority w:val="99"/>
    <w:unhideWhenUsed/>
    <w:rsid w:val="007E16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161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acc.com.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13799C-9232-44DA-995D-CF8208CBB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1345</TotalTime>
  <Pages>3</Pages>
  <Words>1057</Words>
  <Characters>6028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paulus.hangula</dc:creator>
  <cp:lastModifiedBy>dina.gowases</cp:lastModifiedBy>
  <cp:revision>37</cp:revision>
  <cp:lastPrinted>2014-05-13T14:28:00Z</cp:lastPrinted>
  <dcterms:created xsi:type="dcterms:W3CDTF">2014-07-10T11:47:00Z</dcterms:created>
  <dcterms:modified xsi:type="dcterms:W3CDTF">2014-07-11T16:54:00Z</dcterms:modified>
</cp:coreProperties>
</file>